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Theme="majorEastAsia" w:hAnsiTheme="majorEastAsia" w:eastAsiaTheme="majorEastAsia" w:cstheme="majorEastAsia"/>
          <w:b/>
          <w:bCs/>
          <w:color w:val="C00000"/>
          <w:sz w:val="56"/>
          <w:szCs w:val="5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heme="majorEastAsia" w:hAnsiTheme="majorEastAsia" w:eastAsiaTheme="majorEastAsia" w:cstheme="majorEastAsia"/>
          <w:b/>
          <w:bCs/>
          <w:color w:val="C00000"/>
          <w:sz w:val="56"/>
          <w:szCs w:val="56"/>
          <w:highlight w:val="none"/>
          <w:lang w:val="en-US" w:eastAsia="zh-CN"/>
        </w:rPr>
      </w:pPr>
      <w:r>
        <w:rPr>
          <w:rFonts w:hint="eastAsia" w:asciiTheme="majorEastAsia" w:hAnsiTheme="majorEastAsia" w:eastAsiaTheme="majorEastAsia" w:cstheme="majorEastAsia"/>
          <w:b/>
          <w:bCs/>
          <w:color w:val="C00000"/>
          <w:sz w:val="56"/>
          <w:szCs w:val="56"/>
          <w:highlight w:val="none"/>
          <w:lang w:val="en-US" w:eastAsia="zh-CN"/>
        </w:rPr>
        <w:t>日照人才发展集团有限公司文件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日人才字〔2021﹞10号</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-215265</wp:posOffset>
                </wp:positionH>
                <wp:positionV relativeFrom="paragraph">
                  <wp:posOffset>33020</wp:posOffset>
                </wp:positionV>
                <wp:extent cx="5572125" cy="0"/>
                <wp:effectExtent l="0" t="10795" r="9525" b="17780"/>
                <wp:wrapNone/>
                <wp:docPr id="3" name="直接连接符 3"/>
                <wp:cNvGraphicFramePr/>
                <a:graphic xmlns:a="http://schemas.openxmlformats.org/drawingml/2006/main">
                  <a:graphicData uri="http://schemas.microsoft.com/office/word/2010/wordprocessingShape">
                    <wps:wsp>
                      <wps:cNvCnPr/>
                      <wps:spPr>
                        <a:xfrm>
                          <a:off x="927735" y="1811020"/>
                          <a:ext cx="5572125" cy="0"/>
                        </a:xfrm>
                        <a:prstGeom prst="line">
                          <a:avLst/>
                        </a:prstGeom>
                        <a:ln w="22225" cap="flat" cmpd="sng">
                          <a:solidFill>
                            <a:srgbClr val="C00000"/>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6.95pt;margin-top:2.6pt;height:0pt;width:438.75pt;z-index:251660288;mso-width-relative:page;mso-height-relative:page;" filled="f" stroked="t" coordsize="21600,21600" o:gfxdata="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7v+ZH1wAAAAcBAAAPAAAAAAAAAAEAIAAAACIAAABkcnMvZG93bnJldi54bWxQSwECFAAUAAAA&#10;CACHTuJAF8M7sO8BAAC9AwAADgAAAAAAAAABACAAAAAmAQAAZHJzL2Uyb0RvYy54bWxQSwUGAAAA&#10;AAYABgBZAQAAhwUAAAAA&#10;">
                <v:fill on="f" focussize="0,0"/>
                <v:stroke weight="1.75pt" color="#C00000 [3205]" miterlimit="8" joinstyle="miter"/>
                <v:imagedata o:title=""/>
                <o:lock v:ext="edit" aspectratio="f"/>
              </v:line>
            </w:pict>
          </mc:Fallback>
        </mc:AlternateConten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关于印发《</w:t>
      </w:r>
      <w:r>
        <w:rPr>
          <w:rFonts w:hint="eastAsia" w:ascii="方正小标宋简体" w:hAnsi="方正小标宋简体" w:eastAsia="方正小标宋简体" w:cs="方正小标宋简体"/>
          <w:sz w:val="36"/>
          <w:szCs w:val="36"/>
          <w:lang w:val="en-US" w:eastAsia="zh-CN"/>
        </w:rPr>
        <w:t>日照人才发展</w:t>
      </w:r>
      <w:r>
        <w:rPr>
          <w:rFonts w:hint="eastAsia" w:ascii="方正小标宋简体" w:hAnsi="方正小标宋简体" w:eastAsia="方正小标宋简体" w:cs="方正小标宋简体"/>
          <w:sz w:val="36"/>
          <w:szCs w:val="36"/>
        </w:rPr>
        <w:t>集团总经理办公会议事规则（试行）》的通知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集团各部室、子公司：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日照人才发展</w:t>
      </w:r>
      <w:r>
        <w:rPr>
          <w:rFonts w:hint="eastAsia" w:ascii="仿宋_GB2312" w:hAnsi="仿宋_GB2312" w:eastAsia="仿宋_GB2312" w:cs="仿宋_GB2312"/>
          <w:sz w:val="32"/>
          <w:szCs w:val="32"/>
        </w:rPr>
        <w:t>集团总经理办公会议事规则（试行）》印发给你们，请结合工作实际，认真抓好贯彻落实。</w:t>
      </w: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日照人才发展集团有限公司</w:t>
      </w: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2021年6月25日   </w:t>
      </w: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日照人才发展集团总经理办公会议事规则（</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rPr>
        <w:t>）</w:t>
      </w: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黑体" w:hAnsi="黑体" w:eastAsia="黑体" w:cs="仿宋_GB2312"/>
          <w:sz w:val="32"/>
          <w:szCs w:val="32"/>
        </w:rPr>
      </w:pPr>
      <w:r>
        <w:rPr>
          <w:rFonts w:hint="eastAsia" w:ascii="黑体" w:hAnsi="黑体" w:eastAsia="黑体" w:cs="仿宋_GB2312"/>
          <w:sz w:val="32"/>
          <w:szCs w:val="32"/>
        </w:rPr>
        <w:t>一、总则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为完善日照人才发展集团管理制度，规范治理结构，明确总经理办公会议事规则与程序，及时准确贯彻集团支委会、董事会工作部署，结合集团经营管理工作实际，特制定本制度。</w:t>
      </w:r>
    </w:p>
    <w:p>
      <w:pPr>
        <w:spacing w:line="600" w:lineRule="exact"/>
        <w:jc w:val="center"/>
        <w:rPr>
          <w:rFonts w:ascii="黑体" w:hAnsi="黑体" w:eastAsia="黑体" w:cs="仿宋_GB2312"/>
          <w:sz w:val="32"/>
          <w:szCs w:val="32"/>
        </w:rPr>
      </w:pPr>
      <w:r>
        <w:rPr>
          <w:rFonts w:hint="eastAsia" w:ascii="黑体" w:hAnsi="黑体" w:eastAsia="黑体" w:cs="仿宋_GB2312"/>
          <w:sz w:val="32"/>
          <w:szCs w:val="32"/>
        </w:rPr>
        <w:t>二、会议类型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总经理办公会议分为例行会议、专题会议和日常性工作会议。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（一）例行会议。原则每月召开一次，主要听取集团各部门单位相关工作汇报，研究决议会议讨论的议题，协调解决经营管理中的困难和问题。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（二）专题会议。原则上每季度末召开一次，主要对季度经营计划、财务计划执行等集团经营管理的各方面情况进行综合量化对比分析，并根据综合分析的情况，提出保障完成全年计划的经营管理措施。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日常性工作会议。当出现董事会提议时、总经理认为必要时、副总经理或各部门单位提议召开时、有重要经营事项必须立即决定时、有突发性事件发生时、其他需要总经理办公会议决定的重要事项发生时，可根据时间安排临时召开。</w:t>
      </w:r>
    </w:p>
    <w:p>
      <w:pPr>
        <w:spacing w:line="600" w:lineRule="exact"/>
        <w:jc w:val="center"/>
        <w:rPr>
          <w:rFonts w:ascii="黑体" w:hAnsi="黑体" w:eastAsia="黑体" w:cs="仿宋_GB2312"/>
          <w:sz w:val="32"/>
          <w:szCs w:val="32"/>
        </w:rPr>
      </w:pPr>
      <w:r>
        <w:rPr>
          <w:rFonts w:hint="eastAsia" w:ascii="黑体" w:hAnsi="黑体" w:eastAsia="黑体" w:cs="仿宋_GB2312"/>
          <w:sz w:val="32"/>
          <w:szCs w:val="32"/>
        </w:rPr>
        <w:t>三、与会人员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总经理办公会议由总经理召集和主持，副总经理等高级管理人员参加。总经理不能履行职务时，可委托一名副总经理召集并主持。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会议出席人员一般包括总经理、副总经理等高级管理人员参加，根据会议议题需要邀请其他支委会成员、董事会、监事会参加。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应当出席会议的人员因故无法出席会议时，应于会议召开前向总经理或主持会议的副总经理请假。</w:t>
      </w:r>
    </w:p>
    <w:p>
      <w:pPr>
        <w:spacing w:line="600" w:lineRule="exact"/>
        <w:jc w:val="center"/>
        <w:rPr>
          <w:rFonts w:ascii="黑体" w:hAnsi="黑体" w:eastAsia="黑体" w:cs="仿宋_GB2312"/>
          <w:sz w:val="32"/>
          <w:szCs w:val="32"/>
        </w:rPr>
      </w:pPr>
      <w:r>
        <w:rPr>
          <w:rFonts w:hint="eastAsia" w:ascii="黑体" w:hAnsi="黑体" w:eastAsia="黑体" w:cs="仿宋_GB2312"/>
          <w:sz w:val="32"/>
          <w:szCs w:val="32"/>
        </w:rPr>
        <w:t>四、研究决策事项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总经理办公会议事范围包括但不限于：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 传达上级管理部门的重要指示和决议，研究制定贯彻落实的意见和方案。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 研究制定经董事会决定的集团发展规划、财务预算、利润分配、年度经营计划等实施方案。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 研究日常安全、生产、经营管理等工作，及时解决工作中遇到的重大问题。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 拟订集团内部管理机构设置方案。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 拟订集团的基本管理规章制度。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 研究聘任和解聘除应由出资人或董事会决定的管理人员；根据年度绩效考核情况研究调整员工岗（档）级、工资、福利、奖金、罚款分配方案等。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 讨论通过提请董事会审议的重大议案。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 讨论通过提请职工代表大会审议的规章、报告和议案。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 讨论决定以集团名义授予的集体、个人荣誉称号和表彰决定，以及对员工的奖惩决定。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 协调处理涉及与上级单位、监管机构的重要事宜。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 研究确定《公司章程》规定的和董事会授予的其他职权范围内的工作。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 研究其他属于总经理职权范围内的事项。</w:t>
      </w:r>
    </w:p>
    <w:p>
      <w:pPr>
        <w:spacing w:line="600" w:lineRule="exact"/>
        <w:jc w:val="center"/>
        <w:rPr>
          <w:rFonts w:ascii="黑体" w:hAnsi="黑体" w:eastAsia="黑体" w:cs="仿宋_GB2312"/>
          <w:sz w:val="32"/>
          <w:szCs w:val="32"/>
        </w:rPr>
      </w:pPr>
      <w:r>
        <w:rPr>
          <w:rFonts w:hint="eastAsia" w:ascii="黑体" w:hAnsi="黑体" w:eastAsia="黑体" w:cs="仿宋_GB2312"/>
          <w:sz w:val="32"/>
          <w:szCs w:val="32"/>
        </w:rPr>
        <w:t>五、会议规则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（一）总经理办公会议议题由总经理决定，集团各部门单位提前向总经理申请提出会议讨论决定的议题，提交会议讨论的议题应有充分的材料和明确的决策建议。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（二）例行会议和专题会议一般提前 2 个工作日将会议通知、会议议题及相关材料送达参加会议的成员，日常性工作会议可根据需要随时召开。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（三）总经理办公会议纪要和决议以集团文件形式下发，同时抄送集团董事会、监事会。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（四）总经理办公会议成员和列席会议人员，必须认真负责地行使职权，遵守保密纪律，维护集团团结。</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（五）集团办公室负责会议议题的整理收集、会议安排、会议记录、纪要整理和会议资料保管等工作，并定期存档。</w:t>
      </w:r>
    </w:p>
    <w:p>
      <w:pPr>
        <w:spacing w:line="600" w:lineRule="exact"/>
        <w:jc w:val="center"/>
        <w:rPr>
          <w:rFonts w:ascii="黑体" w:hAnsi="黑体" w:eastAsia="黑体" w:cs="仿宋_GB2312"/>
          <w:sz w:val="32"/>
          <w:szCs w:val="32"/>
        </w:rPr>
      </w:pPr>
      <w:r>
        <w:rPr>
          <w:rFonts w:hint="eastAsia" w:ascii="黑体" w:hAnsi="黑体" w:eastAsia="黑体" w:cs="仿宋_GB2312"/>
          <w:sz w:val="32"/>
          <w:szCs w:val="32"/>
        </w:rPr>
        <w:t>六、会议落实</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（一）集团办公室及时印发经总经理签署的总经理办公会会议纪要。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（二）集团经理层及责任部门单位按照其各自分工贯彻落实总经理办公会议议定的相关事项。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（三）集团办公室做好会议确定事项的督查督办，及时反馈落实情况。</w:t>
      </w:r>
    </w:p>
    <w:p>
      <w:pPr>
        <w:spacing w:line="600" w:lineRule="exact"/>
        <w:jc w:val="center"/>
        <w:rPr>
          <w:rFonts w:ascii="黑体" w:hAnsi="黑体" w:eastAsia="黑体" w:cs="仿宋_GB2312"/>
          <w:sz w:val="32"/>
          <w:szCs w:val="32"/>
        </w:rPr>
      </w:pPr>
      <w:r>
        <w:rPr>
          <w:rFonts w:hint="eastAsia" w:ascii="黑体" w:hAnsi="黑体" w:eastAsia="黑体" w:cs="仿宋_GB2312"/>
          <w:sz w:val="32"/>
          <w:szCs w:val="32"/>
        </w:rPr>
        <w:t>七、附则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（一）本制度由集团办公室负责解释。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（二）本制度经董事会批准，自印发之日起实施。</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bookmarkStart w:id="0" w:name="_GoBack"/>
      <w:bookmarkEnd w:id="0"/>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hint="eastAsia" w:ascii="仿宋_GB2312" w:hAnsi="仿宋_GB2312" w:eastAsia="仿宋_GB2312" w:cs="仿宋_GB2312"/>
          <w:w w:val="95"/>
          <w:sz w:val="32"/>
          <w:szCs w:val="32"/>
        </w:rPr>
      </w:pPr>
    </w:p>
    <w:p>
      <w:pPr>
        <w:rPr>
          <w:rFonts w:ascii="Times New Roman" w:hAnsi="Times New Roman" w:eastAsia="仿宋_GB2312" w:cs="Times New Roman"/>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-35560</wp:posOffset>
                </wp:positionH>
                <wp:positionV relativeFrom="paragraph">
                  <wp:posOffset>356235</wp:posOffset>
                </wp:positionV>
                <wp:extent cx="5249545" cy="0"/>
                <wp:effectExtent l="0" t="9525" r="8255" b="9525"/>
                <wp:wrapNone/>
                <wp:docPr id="10" name="直接连接符 10"/>
                <wp:cNvGraphicFramePr/>
                <a:graphic xmlns:a="http://schemas.openxmlformats.org/drawingml/2006/main">
                  <a:graphicData uri="http://schemas.microsoft.com/office/word/2010/wordprocessingShape">
                    <wps:wsp>
                      <wps:cNvCnPr/>
                      <wps:spPr>
                        <a:xfrm>
                          <a:off x="0" y="0"/>
                          <a:ext cx="5249545" cy="0"/>
                        </a:xfrm>
                        <a:prstGeom prst="line">
                          <a:avLst/>
                        </a:prstGeom>
                        <a:ln>
                          <a:solidFill>
                            <a:schemeClr val="tx1"/>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id="_x0000_s1026" o:spid="_x0000_s1026" o:spt="20" style="position:absolute;left:0pt;margin-left:-2.8pt;margin-top:28.05pt;height:0pt;width:413.35pt;z-index:251662336;mso-width-relative:page;mso-height-relative:page;" filled="f" stroked="t" coordsize="21600,21600" o:gfxdata="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1uexD2AAA&#10;AAgBAAAPAAAAAAAAAAEAIAAAACIAAABkcnMvZG93bnJldi54bWxQSwECFAAUAAAACACHTuJAh4pI&#10;qeUBAAC0AwAADgAAAAAAAAABACAAAAAnAQAAZHJzL2Uyb0RvYy54bWxQSwUGAAAAAAYABgBZAQAA&#10;fgUAAAAA&#10;">
                <v:fill on="f" focussize="0,0"/>
                <v:stroke weight="1.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31115</wp:posOffset>
                </wp:positionV>
                <wp:extent cx="5249545" cy="0"/>
                <wp:effectExtent l="0" t="0" r="0" b="0"/>
                <wp:wrapNone/>
                <wp:docPr id="8" name="直接连接符 8"/>
                <wp:cNvGraphicFramePr/>
                <a:graphic xmlns:a="http://schemas.openxmlformats.org/drawingml/2006/main">
                  <a:graphicData uri="http://schemas.microsoft.com/office/word/2010/wordprocessingShape">
                    <wps:wsp>
                      <wps:cNvCnPr/>
                      <wps:spPr>
                        <a:xfrm>
                          <a:off x="1256030" y="8256270"/>
                          <a:ext cx="52495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pt;margin-top:2.45pt;height:0pt;width:413.35pt;z-index:251661312;mso-width-relative:page;mso-height-relative:page;" filled="f" stroked="t" coordsize="21600,21600" o:gfxdata="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OK&#10;tnXTAAAABgEAAA8AAAAAAAAAAQAgAAAAIgAAAGRycy9kb3ducmV2LnhtbFBLAQIUABQAAAAIAIdO&#10;4kC4GLpV7wEAAL0DAAAOAAAAAAAAAAEAIAAAACIBAABkcnMvZTJvRG9jLnhtbFBLBQYAAAAABgAG&#10;AFkBAACDBQAA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w w:val="95"/>
          <w:sz w:val="32"/>
          <w:szCs w:val="32"/>
        </w:rPr>
        <w:t>日照</w:t>
      </w:r>
      <w:r>
        <w:rPr>
          <w:rFonts w:hint="eastAsia" w:ascii="仿宋_GB2312" w:hAnsi="仿宋_GB2312" w:eastAsia="仿宋_GB2312" w:cs="仿宋_GB2312"/>
          <w:w w:val="95"/>
          <w:sz w:val="32"/>
          <w:szCs w:val="32"/>
          <w:lang w:val="en-US" w:eastAsia="zh-CN"/>
        </w:rPr>
        <w:t>人才发展</w:t>
      </w:r>
      <w:r>
        <w:rPr>
          <w:rFonts w:hint="eastAsia" w:ascii="仿宋_GB2312" w:hAnsi="仿宋_GB2312" w:eastAsia="仿宋_GB2312" w:cs="仿宋_GB2312"/>
          <w:w w:val="95"/>
          <w:sz w:val="32"/>
          <w:szCs w:val="32"/>
        </w:rPr>
        <w:t>集团有限公司办公室 20</w:t>
      </w:r>
      <w:r>
        <w:rPr>
          <w:rFonts w:hint="eastAsia" w:ascii="仿宋_GB2312" w:hAnsi="仿宋_GB2312" w:eastAsia="仿宋_GB2312" w:cs="仿宋_GB2312"/>
          <w:w w:val="95"/>
          <w:sz w:val="32"/>
          <w:szCs w:val="32"/>
          <w:lang w:val="en-US" w:eastAsia="zh-CN"/>
        </w:rPr>
        <w:t>21</w:t>
      </w:r>
      <w:r>
        <w:rPr>
          <w:rFonts w:hint="eastAsia" w:ascii="仿宋_GB2312" w:hAnsi="仿宋_GB2312" w:eastAsia="仿宋_GB2312" w:cs="仿宋_GB2312"/>
          <w:w w:val="95"/>
          <w:sz w:val="32"/>
          <w:szCs w:val="32"/>
        </w:rPr>
        <w:t xml:space="preserve"> 年 </w:t>
      </w:r>
      <w:r>
        <w:rPr>
          <w:rFonts w:hint="eastAsia" w:ascii="仿宋_GB2312" w:hAnsi="仿宋_GB2312" w:eastAsia="仿宋_GB2312" w:cs="仿宋_GB2312"/>
          <w:w w:val="95"/>
          <w:sz w:val="32"/>
          <w:szCs w:val="32"/>
          <w:lang w:val="en-US" w:eastAsia="zh-CN"/>
        </w:rPr>
        <w:t>6</w:t>
      </w:r>
      <w:r>
        <w:rPr>
          <w:rFonts w:hint="eastAsia" w:ascii="仿宋_GB2312" w:hAnsi="仿宋_GB2312" w:eastAsia="仿宋_GB2312" w:cs="仿宋_GB2312"/>
          <w:w w:val="95"/>
          <w:sz w:val="32"/>
          <w:szCs w:val="32"/>
        </w:rPr>
        <w:t xml:space="preserve"> 月 2</w:t>
      </w:r>
      <w:r>
        <w:rPr>
          <w:rFonts w:hint="eastAsia" w:ascii="仿宋_GB2312" w:hAnsi="仿宋_GB2312" w:eastAsia="仿宋_GB2312" w:cs="仿宋_GB2312"/>
          <w:w w:val="95"/>
          <w:sz w:val="32"/>
          <w:szCs w:val="32"/>
          <w:lang w:val="en-US" w:eastAsia="zh-CN"/>
        </w:rPr>
        <w:t>5</w:t>
      </w:r>
      <w:r>
        <w:rPr>
          <w:rFonts w:hint="eastAsia" w:ascii="仿宋_GB2312" w:hAnsi="仿宋_GB2312" w:eastAsia="仿宋_GB2312" w:cs="仿宋_GB2312"/>
          <w:w w:val="95"/>
          <w:sz w:val="32"/>
          <w:szCs w:val="32"/>
        </w:rPr>
        <w:t xml:space="preserve"> 日印发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548"/>
    <w:rsid w:val="001D2285"/>
    <w:rsid w:val="00223AFC"/>
    <w:rsid w:val="00301E1D"/>
    <w:rsid w:val="003C51DE"/>
    <w:rsid w:val="006C4548"/>
    <w:rsid w:val="00EA4EB8"/>
    <w:rsid w:val="00FA37B7"/>
    <w:rsid w:val="298971DC"/>
    <w:rsid w:val="48431FE7"/>
    <w:rsid w:val="7EE15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217</Words>
  <Characters>1237</Characters>
  <Lines>10</Lines>
  <Paragraphs>2</Paragraphs>
  <TotalTime>0</TotalTime>
  <ScaleCrop>false</ScaleCrop>
  <LinksUpToDate>false</LinksUpToDate>
  <CharactersWithSpaces>1452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2021-06-28T10:53:00Z</dcterms:created>
  <dc:creator>lv</dc:creator>
  <cp:lastModifiedBy>东夷小镇-杨锴</cp:lastModifiedBy>
  <dcterms:modified xsi:type="dcterms:W3CDTF">2021-07-01T06:56:12Z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86D14B9FCC514E47BC961CD194813E48</vt:lpwstr>
  </property>
</Properties>
</file>