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Theme="majorEastAsia" w:hAnsiTheme="majorEastAsia" w:eastAsiaTheme="majorEastAsia" w:cstheme="majorEastAsia"/>
          <w:b/>
          <w:bCs/>
          <w:color w:val="C00000"/>
          <w:sz w:val="56"/>
          <w:szCs w:val="5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heme="majorEastAsia" w:hAnsiTheme="majorEastAsia" w:eastAsiaTheme="majorEastAsia" w:cstheme="majorEastAsia"/>
          <w:b/>
          <w:bCs/>
          <w:color w:val="C00000"/>
          <w:sz w:val="56"/>
          <w:szCs w:val="56"/>
          <w:highlight w:val="none"/>
          <w:lang w:val="en-US" w:eastAsia="zh-CN"/>
        </w:rPr>
      </w:pPr>
      <w:r>
        <w:rPr>
          <w:rFonts w:hint="eastAsia" w:asciiTheme="majorEastAsia" w:hAnsiTheme="majorEastAsia" w:eastAsiaTheme="majorEastAsia" w:cstheme="majorEastAsia"/>
          <w:b/>
          <w:bCs/>
          <w:color w:val="C00000"/>
          <w:sz w:val="56"/>
          <w:szCs w:val="56"/>
          <w:highlight w:val="none"/>
          <w:lang w:val="en-US" w:eastAsia="zh-CN"/>
        </w:rPr>
        <w:t>日照人才发展集团有限公司文件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日人才字〔2021﹞12号</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-215265</wp:posOffset>
                </wp:positionH>
                <wp:positionV relativeFrom="paragraph">
                  <wp:posOffset>33020</wp:posOffset>
                </wp:positionV>
                <wp:extent cx="5572125" cy="0"/>
                <wp:effectExtent l="0" t="10795" r="9525" b="17780"/>
                <wp:wrapNone/>
                <wp:docPr id="3" name="直接连接符 3"/>
                <wp:cNvGraphicFramePr/>
                <a:graphic xmlns:a="http://schemas.openxmlformats.org/drawingml/2006/main">
                  <a:graphicData uri="http://schemas.microsoft.com/office/word/2010/wordprocessingShape">
                    <wps:wsp>
                      <wps:cNvCnPr/>
                      <wps:spPr>
                        <a:xfrm>
                          <a:off x="927735" y="1811020"/>
                          <a:ext cx="5572125" cy="0"/>
                        </a:xfrm>
                        <a:prstGeom prst="line">
                          <a:avLst/>
                        </a:prstGeom>
                        <a:ln w="22225" cap="flat" cmpd="sng">
                          <a:solidFill>
                            <a:srgbClr val="C00000"/>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6.95pt;margin-top:2.6pt;height:0pt;width:438.75pt;z-index:251660288;mso-width-relative:page;mso-height-relative:page;" filled="f" stroked="t" coordsize="21600,21600" o:gfxdata="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0gsKR9MAAAAHAQAA&#10;DwAAAAAAAAABACAAAAAiAAAAZHJzL2Rvd25yZXYueG1sUEsBAhQAFAAAAAgAh07iQCtYWZflAQAA&#10;pgMAAA4AAAAAAAAAAQAgAAAAIgEAAGRycy9lMm9Eb2MueG1sUEsFBgAAAAAGAAYAWQEAAHkFAAAA&#10;AA==&#10;">
                <v:fill on="f" focussize="0,0"/>
                <v:stroke weight="1.75pt" color="#C00000 [3205]" joinstyle="round"/>
                <v:imagedata o:title=""/>
                <o:lock v:ext="edit" aspectratio="f"/>
              </v:line>
            </w:pict>
          </mc:Fallback>
        </mc:AlternateConten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关于印发《</w:t>
      </w:r>
      <w:r>
        <w:rPr>
          <w:rFonts w:hint="eastAsia" w:ascii="方正小标宋简体" w:hAnsi="方正小标宋简体" w:eastAsia="方正小标宋简体" w:cs="方正小标宋简体"/>
          <w:sz w:val="36"/>
          <w:szCs w:val="36"/>
          <w:lang w:val="en-US" w:eastAsia="zh-CN"/>
        </w:rPr>
        <w:t>日照人才发展</w:t>
      </w:r>
      <w:r>
        <w:rPr>
          <w:rFonts w:hint="eastAsia" w:ascii="方正小标宋简体" w:hAnsi="方正小标宋简体" w:eastAsia="方正小标宋简体" w:cs="方正小标宋简体"/>
          <w:sz w:val="36"/>
          <w:szCs w:val="36"/>
        </w:rPr>
        <w:t>集团董事会向经理层授权管理制度（试行）》的通知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集团各部室、子公司：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val="en-US" w:eastAsia="zh-CN"/>
        </w:rPr>
        <w:t>日照人才发展</w:t>
      </w:r>
      <w:r>
        <w:rPr>
          <w:rFonts w:hint="eastAsia" w:ascii="仿宋_GB2312" w:hAnsi="仿宋_GB2312" w:eastAsia="仿宋_GB2312" w:cs="仿宋_GB2312"/>
          <w:sz w:val="32"/>
          <w:szCs w:val="32"/>
        </w:rPr>
        <w:t>集团董事会向经理层授权管理制度（试行）》印发给你们，请结合工作实际，认真抓好贯彻落实。</w:t>
      </w: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日照人才发展集团有限公司</w:t>
      </w:r>
    </w:p>
    <w:p>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2021年6月25日   </w:t>
      </w:r>
    </w:p>
    <w:p>
      <w:pPr>
        <w:spacing w:line="600" w:lineRule="exact"/>
        <w:jc w:val="center"/>
        <w:rPr>
          <w:rFonts w:ascii="方正小标宋简体" w:eastAsia="方正小标宋简体"/>
          <w:color w:val="000000" w:themeColor="text1"/>
          <w:sz w:val="44"/>
          <w:szCs w:val="44"/>
          <w14:textFill>
            <w14:solidFill>
              <w14:schemeClr w14:val="tx1"/>
            </w14:solidFill>
          </w14:textFill>
        </w:rPr>
      </w:pPr>
    </w:p>
    <w:p>
      <w:pPr>
        <w:pStyle w:val="2"/>
      </w:pPr>
    </w:p>
    <w:p>
      <w:pPr>
        <w:spacing w:line="60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日照人才发展集团有限公司</w:t>
      </w:r>
    </w:p>
    <w:p>
      <w:pPr>
        <w:spacing w:line="60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董事会向经理层授权管理制度（</w:t>
      </w:r>
      <w:r>
        <w:rPr>
          <w:rFonts w:hint="eastAsia" w:ascii="方正小标宋简体" w:eastAsia="方正小标宋简体"/>
          <w:color w:val="000000" w:themeColor="text1"/>
          <w:sz w:val="44"/>
          <w:szCs w:val="44"/>
          <w:lang w:val="en-US" w:eastAsia="zh-CN"/>
          <w14:textFill>
            <w14:solidFill>
              <w14:schemeClr w14:val="tx1"/>
            </w14:solidFill>
          </w14:textFill>
        </w:rPr>
        <w:t>试行</w:t>
      </w:r>
      <w:r>
        <w:rPr>
          <w:rFonts w:hint="eastAsia" w:ascii="方正小标宋简体" w:eastAsia="方正小标宋简体"/>
          <w:color w:val="000000" w:themeColor="text1"/>
          <w:sz w:val="44"/>
          <w:szCs w:val="44"/>
          <w14:textFill>
            <w14:solidFill>
              <w14:schemeClr w14:val="tx1"/>
            </w14:solidFill>
          </w14:textFill>
        </w:rPr>
        <w:t>）</w:t>
      </w:r>
    </w:p>
    <w:p>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spacing w:line="600" w:lineRule="exact"/>
        <w:ind w:firstLine="720"/>
        <w:rPr>
          <w:rFonts w:ascii="Times New Roman" w:hAnsi="Times New Roman" w:eastAsia="仿宋_GB2312" w:cs="仿宋_GB2312"/>
          <w:bCs/>
          <w:sz w:val="32"/>
          <w:szCs w:val="32"/>
        </w:rPr>
      </w:pPr>
      <w:r>
        <w:rPr>
          <w:rFonts w:hint="eastAsia" w:ascii="黑体" w:hAnsi="黑体" w:eastAsia="黑体" w:cs="黑体"/>
          <w:sz w:val="32"/>
          <w:szCs w:val="32"/>
        </w:rPr>
        <w:t>第一条</w:t>
      </w:r>
      <w:r>
        <w:rPr>
          <w:rFonts w:hint="eastAsia" w:ascii="Times New Roman" w:hAnsi="Times New Roman" w:eastAsia="仿宋_GB2312" w:cs="仿宋_GB2312"/>
          <w:sz w:val="32"/>
          <w:szCs w:val="32"/>
        </w:rPr>
        <w:t xml:space="preserve">  为完善日照人才发展集团有限公司法人治理结构，加强风险管理，提高管理效率，</w:t>
      </w:r>
      <w:bookmarkStart w:id="0" w:name="_Hlk75815238"/>
      <w:r>
        <w:rPr>
          <w:rFonts w:hint="eastAsia" w:ascii="Times New Roman" w:hAnsi="Times New Roman" w:eastAsia="仿宋_GB2312" w:cs="仿宋_GB2312"/>
          <w:sz w:val="32"/>
          <w:szCs w:val="32"/>
        </w:rPr>
        <w:t>根据《中华人民共和国公司法》等法律法规、规范性文件和《日照人才发展集团有限公司章程》</w:t>
      </w:r>
      <w:bookmarkEnd w:id="0"/>
      <w:r>
        <w:rPr>
          <w:rFonts w:hint="eastAsia" w:ascii="Times New Roman" w:hAnsi="Times New Roman" w:eastAsia="仿宋_GB2312" w:cs="仿宋_GB2312"/>
          <w:sz w:val="32"/>
          <w:szCs w:val="32"/>
        </w:rPr>
        <w:t>的规定，特制订本授权制度。</w:t>
      </w:r>
    </w:p>
    <w:p>
      <w:pPr>
        <w:spacing w:line="600" w:lineRule="exact"/>
        <w:ind w:firstLine="640" w:firstLineChars="200"/>
        <w:rPr>
          <w:rFonts w:ascii="Times New Roman" w:hAnsi="Times New Roman" w:eastAsia="仿宋_GB2312" w:cs="仿宋_GB2312"/>
          <w:sz w:val="32"/>
          <w:szCs w:val="32"/>
        </w:rPr>
      </w:pPr>
      <w:r>
        <w:rPr>
          <w:rFonts w:hint="eastAsia" w:ascii="黑体" w:hAnsi="黑体" w:eastAsia="黑体" w:cs="黑体"/>
          <w:sz w:val="32"/>
          <w:szCs w:val="32"/>
        </w:rPr>
        <w:t>第二条</w:t>
      </w:r>
      <w:r>
        <w:rPr>
          <w:rFonts w:hint="eastAsia" w:ascii="Times New Roman" w:hAnsi="Times New Roman" w:eastAsia="仿宋_GB2312" w:cs="仿宋_GB2312"/>
          <w:sz w:val="32"/>
          <w:szCs w:val="32"/>
        </w:rPr>
        <w:t xml:space="preserve">  本制度所称经理层是指董事会聘任的总经理、副总经理及董事会认定的其他高级管理人员。</w:t>
      </w:r>
    </w:p>
    <w:p>
      <w:pPr>
        <w:spacing w:line="600" w:lineRule="exact"/>
        <w:ind w:firstLine="640" w:firstLineChars="200"/>
        <w:rPr>
          <w:rFonts w:ascii="Times New Roman" w:hAnsi="Times New Roman" w:eastAsia="仿宋_GB2312" w:cs="仿宋_GB2312"/>
          <w:sz w:val="32"/>
          <w:szCs w:val="32"/>
        </w:rPr>
      </w:pPr>
      <w:r>
        <w:rPr>
          <w:rFonts w:hint="eastAsia" w:ascii="黑体" w:hAnsi="黑体" w:eastAsia="黑体" w:cs="黑体"/>
          <w:sz w:val="32"/>
          <w:szCs w:val="32"/>
        </w:rPr>
        <w:t>第三条</w:t>
      </w:r>
      <w:r>
        <w:rPr>
          <w:rFonts w:hint="eastAsia" w:ascii="Times New Roman" w:hAnsi="Times New Roman" w:eastAsia="仿宋_GB2312" w:cs="仿宋_GB2312"/>
          <w:sz w:val="32"/>
          <w:szCs w:val="32"/>
        </w:rPr>
        <w:t xml:space="preserve">  本制度所称的“授权管理”是指：</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（一）董事会对总经理的授权；</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（二）集团在具体经营管理中其他必要的授权。</w:t>
      </w:r>
    </w:p>
    <w:p>
      <w:pPr>
        <w:spacing w:line="600" w:lineRule="exact"/>
        <w:ind w:firstLine="640" w:firstLineChars="200"/>
        <w:rPr>
          <w:rFonts w:ascii="Times New Roman" w:hAnsi="Times New Roman" w:eastAsia="仿宋_GB2312" w:cs="仿宋_GB2312"/>
          <w:sz w:val="32"/>
          <w:szCs w:val="32"/>
        </w:rPr>
      </w:pPr>
      <w:r>
        <w:rPr>
          <w:rFonts w:hint="eastAsia" w:ascii="黑体" w:hAnsi="黑体" w:eastAsia="黑体" w:cs="黑体"/>
          <w:sz w:val="32"/>
          <w:szCs w:val="32"/>
        </w:rPr>
        <w:t>第四条</w:t>
      </w:r>
      <w:r>
        <w:rPr>
          <w:rFonts w:hint="eastAsia" w:ascii="Times New Roman" w:hAnsi="Times New Roman" w:eastAsia="仿宋_GB2312" w:cs="仿宋_GB2312"/>
          <w:sz w:val="32"/>
          <w:szCs w:val="32"/>
        </w:rPr>
        <w:t xml:space="preserve">  股东大会、董事会、董事长、经理层对专项事务做出专门授权的，依据专门授权执行。</w:t>
      </w:r>
    </w:p>
    <w:p>
      <w:pPr>
        <w:spacing w:line="600" w:lineRule="exact"/>
        <w:ind w:firstLine="640" w:firstLineChars="200"/>
        <w:rPr>
          <w:rFonts w:ascii="Times New Roman" w:hAnsi="Times New Roman" w:eastAsia="仿宋_GB2312" w:cs="仿宋_GB2312"/>
          <w:sz w:val="32"/>
          <w:szCs w:val="32"/>
        </w:rPr>
      </w:pPr>
      <w:r>
        <w:rPr>
          <w:rFonts w:hint="eastAsia" w:ascii="黑体" w:hAnsi="黑体" w:eastAsia="黑体" w:cs="黑体"/>
          <w:sz w:val="32"/>
          <w:szCs w:val="32"/>
        </w:rPr>
        <w:t>第五条</w:t>
      </w:r>
      <w:r>
        <w:rPr>
          <w:rFonts w:hint="eastAsia" w:ascii="Times New Roman" w:hAnsi="Times New Roman" w:eastAsia="仿宋_GB2312" w:cs="仿宋_GB2312"/>
          <w:sz w:val="32"/>
          <w:szCs w:val="32"/>
        </w:rPr>
        <w:t xml:space="preserve">  董事会授权经理层在授权金额范围内决策以下非关联交易事项：</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（一）租入或者租出、抵押或质押资产；</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（二）债权、债务重组；</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（三）转让或者受让研究与开发项目；</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（四）购买或者出售资产（含资产置换中涉及到的购买原材料，以及资产置换中涉及到的出售产品、商品等与日常经营相关的资产购买或者出售行为）。</w:t>
      </w:r>
    </w:p>
    <w:p>
      <w:pPr>
        <w:spacing w:line="600" w:lineRule="exact"/>
        <w:ind w:firstLine="640" w:firstLineChars="200"/>
        <w:rPr>
          <w:rFonts w:ascii="Times New Roman" w:hAnsi="Times New Roman" w:eastAsia="仿宋_GB2312" w:cs="仿宋_GB2312"/>
          <w:sz w:val="32"/>
          <w:szCs w:val="32"/>
        </w:rPr>
      </w:pPr>
      <w:r>
        <w:rPr>
          <w:rFonts w:hint="eastAsia" w:ascii="黑体" w:hAnsi="黑体" w:eastAsia="黑体" w:cs="黑体"/>
          <w:sz w:val="32"/>
          <w:szCs w:val="32"/>
        </w:rPr>
        <w:t>第六条</w:t>
      </w:r>
      <w:r>
        <w:rPr>
          <w:rFonts w:hint="eastAsia" w:ascii="Times New Roman" w:hAnsi="Times New Roman" w:eastAsia="仿宋_GB2312" w:cs="仿宋_GB2312"/>
          <w:sz w:val="32"/>
          <w:szCs w:val="32"/>
        </w:rPr>
        <w:t xml:space="preserve">  董事会授权经理层决策本制度第五条规定的非关联交易的金额权限：</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（一）交易涉及的资产总额（同时存在账面值和评估值的，以高者为准）不超过公司最近一期经审计总资产的0.5%；</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（二）人力资源派遣、外包等薪酬代收代支业务按照实际支付；其它交易的成交金额（包括承担的债务和费用）不超过500万元；</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（三）交易标的（如股权）在最近一个会计年度相关的营业收入不超过集团最近一个会计年度经审计营业收入的5%；</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（四）上述指标涉及的数据如为负值，取其绝对值计算；</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（五）上述指标在相同交易类别下标的相关的各项交易，12个月内累计计算，经累计计算后的超额部分，不予授权。</w:t>
      </w:r>
    </w:p>
    <w:p>
      <w:pPr>
        <w:spacing w:line="600" w:lineRule="exact"/>
        <w:ind w:firstLine="640" w:firstLineChars="200"/>
        <w:rPr>
          <w:rFonts w:ascii="Times New Roman" w:hAnsi="Times New Roman" w:eastAsia="仿宋_GB2312" w:cs="仿宋_GB2312"/>
          <w:sz w:val="32"/>
          <w:szCs w:val="32"/>
        </w:rPr>
      </w:pPr>
      <w:r>
        <w:rPr>
          <w:rFonts w:hint="eastAsia" w:ascii="黑体" w:hAnsi="黑体" w:eastAsia="黑体" w:cs="黑体"/>
          <w:sz w:val="32"/>
          <w:szCs w:val="32"/>
        </w:rPr>
        <w:t>第七条</w:t>
      </w:r>
      <w:r>
        <w:rPr>
          <w:rFonts w:hint="eastAsia" w:ascii="Times New Roman" w:hAnsi="Times New Roman" w:eastAsia="仿宋_GB2312" w:cs="仿宋_GB2312"/>
          <w:sz w:val="32"/>
          <w:szCs w:val="32"/>
        </w:rPr>
        <w:t xml:space="preserve">  董事会授权经理层在授权金额范围内决策以下关联交易事项：</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（一）购买或者出售资产；</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（二）提供财务资助；</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（三）租入或者租出资产；</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（四）委托或者受托管理资产和业务；</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（五）赠与或者受赠资产；</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（六）债权、债务重组；</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（七）签订许可使用协议；</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（八）转让或者受让研究与开发项目；</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（九）购买原材料、办公用品；</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（十）销售产品、商品；</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（十一）提供或者接受劳务；</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（十二）委托或者受托销售、购买；</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（十三）在关联人财务公司存贷款；</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（十四）与关联人共同投资。</w:t>
      </w:r>
    </w:p>
    <w:p>
      <w:pPr>
        <w:spacing w:line="600" w:lineRule="exact"/>
        <w:ind w:firstLine="640" w:firstLineChars="200"/>
        <w:rPr>
          <w:rFonts w:ascii="Times New Roman" w:hAnsi="Times New Roman" w:eastAsia="仿宋_GB2312" w:cs="仿宋_GB2312"/>
          <w:sz w:val="32"/>
          <w:szCs w:val="32"/>
        </w:rPr>
      </w:pPr>
      <w:r>
        <w:rPr>
          <w:rFonts w:hint="eastAsia" w:ascii="黑体" w:hAnsi="黑体" w:eastAsia="黑体" w:cs="黑体"/>
          <w:sz w:val="32"/>
          <w:szCs w:val="32"/>
        </w:rPr>
        <w:t>第八条</w:t>
      </w:r>
      <w:r>
        <w:rPr>
          <w:rFonts w:hint="eastAsia" w:ascii="Times New Roman" w:hAnsi="Times New Roman" w:eastAsia="仿宋_GB2312" w:cs="仿宋_GB2312"/>
          <w:sz w:val="32"/>
          <w:szCs w:val="32"/>
        </w:rPr>
        <w:t xml:space="preserve">  董事会授权经理层决策本制度第七条关联交易的金额权限：</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（一）与关联自然人发生的交易金额不超过50万元（不得直接或者间接向董事、监事、高级管理人员提供借款）；</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（二）与关联法人发生的交易金额占集团最近一期经审计净资产绝对值不超过0.5%。</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（三）上述指标12个月内累计计算，经累计计算后的超额部分，不予授权。累计计算的原则按照《关联交易管理制度》执行。</w:t>
      </w:r>
    </w:p>
    <w:p>
      <w:pPr>
        <w:spacing w:line="600" w:lineRule="exact"/>
        <w:ind w:firstLine="640" w:firstLineChars="200"/>
        <w:rPr>
          <w:rFonts w:ascii="Times New Roman" w:hAnsi="Times New Roman" w:eastAsia="仿宋_GB2312" w:cs="仿宋_GB2312"/>
          <w:sz w:val="32"/>
          <w:szCs w:val="32"/>
        </w:rPr>
      </w:pPr>
      <w:r>
        <w:rPr>
          <w:rFonts w:hint="eastAsia" w:ascii="黑体" w:hAnsi="黑体" w:eastAsia="黑体" w:cs="黑体"/>
          <w:sz w:val="32"/>
          <w:szCs w:val="32"/>
        </w:rPr>
        <w:t>第九条</w:t>
      </w:r>
      <w:r>
        <w:rPr>
          <w:rFonts w:hint="eastAsia" w:ascii="Times New Roman" w:hAnsi="Times New Roman" w:eastAsia="仿宋_GB2312" w:cs="仿宋_GB2312"/>
          <w:sz w:val="32"/>
          <w:szCs w:val="32"/>
        </w:rPr>
        <w:t xml:space="preserve">  董事会授权经理层签署以下合同、协议：</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（一）代表集团签署各类经营管理相关的合同、协议；</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（二）代表集团签署技术改造和工程建设合同；</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（三）代表集团签署除集团总经理外的《劳动合同》；</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（四）代表集团与为集团服务的中介机构签订相关协议或合同。</w:t>
      </w:r>
    </w:p>
    <w:p>
      <w:pPr>
        <w:spacing w:line="600" w:lineRule="exact"/>
        <w:ind w:firstLine="640" w:firstLineChars="200"/>
        <w:rPr>
          <w:rFonts w:ascii="Times New Roman" w:hAnsi="Times New Roman" w:eastAsia="仿宋_GB2312" w:cs="仿宋_GB2312"/>
          <w:sz w:val="32"/>
          <w:szCs w:val="32"/>
        </w:rPr>
      </w:pPr>
      <w:r>
        <w:rPr>
          <w:rFonts w:hint="eastAsia" w:ascii="黑体" w:hAnsi="黑体" w:eastAsia="黑体" w:cs="黑体"/>
          <w:sz w:val="32"/>
          <w:szCs w:val="32"/>
        </w:rPr>
        <w:t>第十条</w:t>
      </w:r>
      <w:r>
        <w:rPr>
          <w:rFonts w:hint="eastAsia" w:ascii="Times New Roman" w:hAnsi="Times New Roman" w:eastAsia="仿宋_GB2312" w:cs="仿宋_GB2312"/>
          <w:sz w:val="32"/>
          <w:szCs w:val="32"/>
        </w:rPr>
        <w:t xml:space="preserve">  经理层审批以下财务支出：</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（一）根据股东大会决议、董事会决议、董事长签署的合同、协议，审批款项支付；</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（二）审批集团日常经营管理中的各项费用。</w:t>
      </w:r>
    </w:p>
    <w:p>
      <w:pPr>
        <w:spacing w:line="600" w:lineRule="exact"/>
        <w:ind w:firstLine="640" w:firstLineChars="200"/>
        <w:rPr>
          <w:rFonts w:ascii="Times New Roman" w:hAnsi="Times New Roman" w:eastAsia="仿宋_GB2312" w:cs="仿宋_GB2312"/>
          <w:sz w:val="32"/>
          <w:szCs w:val="32"/>
        </w:rPr>
      </w:pPr>
      <w:r>
        <w:rPr>
          <w:rFonts w:hint="eastAsia" w:ascii="黑体" w:hAnsi="黑体" w:eastAsia="黑体" w:cs="黑体"/>
          <w:sz w:val="32"/>
          <w:szCs w:val="32"/>
        </w:rPr>
        <w:t>第十一条</w:t>
      </w:r>
      <w:r>
        <w:rPr>
          <w:rFonts w:hint="eastAsia" w:ascii="Times New Roman" w:hAnsi="Times New Roman" w:eastAsia="仿宋_GB2312" w:cs="仿宋_GB2312"/>
          <w:sz w:val="32"/>
          <w:szCs w:val="32"/>
        </w:rPr>
        <w:t xml:space="preserve"> 董事会授权经理层的其他事项：</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（一）审批、决定与集团生产经营相关的一般性业务事项，包括：采购原材料、销售商品、提供服务等；</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（二）制定并组织实施集团除高级管理人员以外的全部员工的薪酬体系和支付标准；</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（三）制定集团日常费用标准和支付规定并组织实施，包括但不限于差旅费标准、出国人员补贴标准、职工福利改革等；</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（四）制定集团日常生产经营管理制度；</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（五）决定集团内部生产经营管理机构设置；</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（六）聘任、解聘除由集团董事会聘任和解聘以外的集团员工；</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（七）出席子公司股东会、董事会；</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（八）向合并报表范围内，持股比例超过50%的控股子公司提供财务资助；</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（九）根据股东大会、董事会决议办理工商变更登记手续。</w:t>
      </w:r>
    </w:p>
    <w:p>
      <w:pPr>
        <w:spacing w:line="600" w:lineRule="exact"/>
        <w:ind w:firstLine="640" w:firstLineChars="200"/>
        <w:rPr>
          <w:rFonts w:ascii="Times New Roman" w:hAnsi="Times New Roman" w:eastAsia="仿宋_GB2312" w:cs="仿宋_GB2312"/>
          <w:sz w:val="32"/>
          <w:szCs w:val="32"/>
        </w:rPr>
      </w:pPr>
      <w:r>
        <w:rPr>
          <w:rFonts w:hint="eastAsia" w:ascii="黑体" w:hAnsi="黑体" w:eastAsia="黑体" w:cs="黑体"/>
          <w:sz w:val="32"/>
          <w:szCs w:val="32"/>
        </w:rPr>
        <w:t>第十二条</w:t>
      </w:r>
      <w:r>
        <w:rPr>
          <w:rFonts w:hint="eastAsia" w:ascii="Times New Roman" w:hAnsi="Times New Roman" w:eastAsia="仿宋_GB2312" w:cs="仿宋_GB2312"/>
          <w:sz w:val="32"/>
          <w:szCs w:val="32"/>
        </w:rPr>
        <w:t xml:space="preserve">  附则：</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本制度与《公司法》《证券法》等法律法规、规范性文件，《公司章程》及日后国家颁布的法律、法规或修订后的《公司章程》相抵触时，按照法律法规、规范性文件、《公司章程》规定执行，并及时修订本制度。</w:t>
      </w:r>
    </w:p>
    <w:p>
      <w:p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（二）本制度经集团董事会审议通过后生效，由董事会负责解释。</w:t>
      </w:r>
    </w:p>
    <w:p>
      <w:pPr>
        <w:rPr>
          <w:rFonts w:hint="eastAsia" w:ascii="仿宋_GB2312" w:hAnsi="仿宋_GB2312" w:eastAsia="仿宋_GB2312" w:cs="仿宋_GB2312"/>
          <w:w w:val="95"/>
          <w:sz w:val="32"/>
          <w:szCs w:val="32"/>
        </w:rPr>
      </w:pPr>
    </w:p>
    <w:p>
      <w:pPr>
        <w:pStyle w:val="2"/>
        <w:rPr>
          <w:rFonts w:hint="eastAsia" w:ascii="仿宋_GB2312" w:hAnsi="仿宋_GB2312" w:eastAsia="仿宋_GB2312" w:cs="仿宋_GB2312"/>
          <w:w w:val="95"/>
          <w:sz w:val="32"/>
          <w:szCs w:val="32"/>
        </w:rPr>
      </w:pPr>
    </w:p>
    <w:p>
      <w:pPr>
        <w:pStyle w:val="2"/>
        <w:rPr>
          <w:rFonts w:hint="eastAsia" w:ascii="仿宋_GB2312" w:hAnsi="仿宋_GB2312" w:eastAsia="仿宋_GB2312" w:cs="仿宋_GB2312"/>
          <w:w w:val="95"/>
          <w:sz w:val="32"/>
          <w:szCs w:val="32"/>
        </w:rPr>
      </w:pPr>
    </w:p>
    <w:p>
      <w:pPr>
        <w:pStyle w:val="2"/>
        <w:rPr>
          <w:rFonts w:hint="eastAsia" w:ascii="仿宋_GB2312" w:hAnsi="仿宋_GB2312" w:eastAsia="仿宋_GB2312" w:cs="仿宋_GB2312"/>
          <w:w w:val="95"/>
          <w:sz w:val="32"/>
          <w:szCs w:val="32"/>
        </w:rPr>
      </w:pPr>
    </w:p>
    <w:p>
      <w:pPr>
        <w:pStyle w:val="2"/>
        <w:rPr>
          <w:rFonts w:hint="eastAsia" w:ascii="仿宋_GB2312" w:hAnsi="仿宋_GB2312" w:eastAsia="仿宋_GB2312" w:cs="仿宋_GB2312"/>
          <w:w w:val="95"/>
          <w:sz w:val="32"/>
          <w:szCs w:val="32"/>
        </w:rPr>
      </w:pPr>
    </w:p>
    <w:p>
      <w:pPr>
        <w:pStyle w:val="2"/>
        <w:rPr>
          <w:rFonts w:hint="eastAsia" w:ascii="仿宋_GB2312" w:hAnsi="仿宋_GB2312" w:eastAsia="仿宋_GB2312" w:cs="仿宋_GB2312"/>
          <w:w w:val="95"/>
          <w:sz w:val="32"/>
          <w:szCs w:val="32"/>
        </w:rPr>
      </w:pPr>
    </w:p>
    <w:p>
      <w:pPr>
        <w:pStyle w:val="2"/>
        <w:rPr>
          <w:rFonts w:hint="eastAsia" w:ascii="仿宋_GB2312" w:hAnsi="仿宋_GB2312" w:eastAsia="仿宋_GB2312" w:cs="仿宋_GB2312"/>
          <w:w w:val="95"/>
          <w:sz w:val="32"/>
          <w:szCs w:val="32"/>
        </w:rPr>
      </w:pPr>
    </w:p>
    <w:p>
      <w:pPr>
        <w:pStyle w:val="2"/>
        <w:rPr>
          <w:rFonts w:hint="eastAsia" w:ascii="仿宋_GB2312" w:hAnsi="仿宋_GB2312" w:eastAsia="仿宋_GB2312" w:cs="仿宋_GB2312"/>
          <w:w w:val="95"/>
          <w:sz w:val="32"/>
          <w:szCs w:val="32"/>
        </w:rPr>
      </w:pPr>
    </w:p>
    <w:p>
      <w:pPr>
        <w:pStyle w:val="2"/>
        <w:rPr>
          <w:rFonts w:hint="eastAsia" w:ascii="仿宋_GB2312" w:hAnsi="仿宋_GB2312" w:eastAsia="仿宋_GB2312" w:cs="仿宋_GB2312"/>
          <w:w w:val="95"/>
          <w:sz w:val="32"/>
          <w:szCs w:val="32"/>
        </w:rPr>
      </w:pPr>
    </w:p>
    <w:p>
      <w:pPr>
        <w:rPr>
          <w:rFonts w:hint="eastAsia" w:ascii="仿宋_GB2312" w:hAnsi="仿宋_GB2312" w:eastAsia="仿宋_GB2312" w:cs="仿宋_GB2312"/>
          <w:w w:val="95"/>
          <w:sz w:val="32"/>
          <w:szCs w:val="32"/>
        </w:rPr>
      </w:pPr>
    </w:p>
    <w:p>
      <w:pPr>
        <w:pStyle w:val="2"/>
        <w:rPr>
          <w:rFonts w:hint="eastAsia" w:ascii="仿宋_GB2312" w:hAnsi="仿宋_GB2312" w:eastAsia="仿宋_GB2312" w:cs="仿宋_GB2312"/>
          <w:w w:val="95"/>
          <w:sz w:val="32"/>
          <w:szCs w:val="32"/>
        </w:rPr>
      </w:pPr>
    </w:p>
    <w:p>
      <w:pPr>
        <w:pStyle w:val="2"/>
        <w:rPr>
          <w:rFonts w:hint="eastAsia" w:ascii="仿宋_GB2312" w:hAnsi="仿宋_GB2312" w:eastAsia="仿宋_GB2312" w:cs="仿宋_GB2312"/>
          <w:w w:val="95"/>
          <w:sz w:val="32"/>
          <w:szCs w:val="32"/>
        </w:rPr>
      </w:pPr>
      <w:bookmarkStart w:id="1" w:name="_GoBack"/>
      <w:bookmarkEnd w:id="1"/>
    </w:p>
    <w:p>
      <w:r>
        <w:rPr>
          <w:sz w:val="32"/>
        </w:rPr>
        <mc:AlternateContent>
          <mc:Choice Requires="wps">
            <w:drawing>
              <wp:anchor distT="0" distB="0" distL="114300" distR="114300" simplePos="0" relativeHeight="251662336" behindDoc="0" locked="0" layoutInCell="1" allowOverlap="1">
                <wp:simplePos x="0" y="0"/>
                <wp:positionH relativeFrom="column">
                  <wp:posOffset>-35560</wp:posOffset>
                </wp:positionH>
                <wp:positionV relativeFrom="paragraph">
                  <wp:posOffset>356235</wp:posOffset>
                </wp:positionV>
                <wp:extent cx="5249545" cy="0"/>
                <wp:effectExtent l="33655" t="29845" r="50800" b="84455"/>
                <wp:wrapNone/>
                <wp:docPr id="10" name="直接连接符 10"/>
                <wp:cNvGraphicFramePr/>
                <a:graphic xmlns:a="http://schemas.openxmlformats.org/drawingml/2006/main">
                  <a:graphicData uri="http://schemas.microsoft.com/office/word/2010/wordprocessingShape">
                    <wps:wsp>
                      <wps:cNvCnPr/>
                      <wps:spPr>
                        <a:xfrm>
                          <a:off x="0" y="0"/>
                          <a:ext cx="5249545" cy="0"/>
                        </a:xfrm>
                        <a:prstGeom prst="line">
                          <a:avLst/>
                        </a:prstGeom>
                        <a:ln>
                          <a:solidFill>
                            <a:schemeClr val="tx1"/>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id="_x0000_s1026" o:spid="_x0000_s1026" o:spt="20" style="position:absolute;left:0pt;margin-left:-2.8pt;margin-top:28.05pt;height:0pt;width:413.35pt;z-index:251662336;mso-width-relative:page;mso-height-relative:page;" filled="f" stroked="t" coordsize="21600,21600" o:gfxdata="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y/3zl1QAA&#10;AAgBAAAPAAAAAAAAAAEAIAAAACIAAABkcnMvZG93bnJldi54bWxQSwECFAAUAAAACACHTuJA3KOu&#10;fyECAABJBAAADgAAAAAAAAABACAAAAAkAQAAZHJzL2Uyb0RvYy54bWxQSwUGAAAAAAYABgBZAQAA&#10;twUAAAAA&#10;">
                <v:fill on="f" focussize="0,0"/>
                <v:stroke weight="3pt" color="#000000 [3213]" joinstyle="round"/>
                <v:imagedata o:title=""/>
                <o:lock v:ext="edit" aspectratio="f"/>
                <v:shadow on="t" color="#000000" opacity="22937f" offset="0pt,1.81102362204724pt" origin="0f,32768f" matrix="65536f,0f,0f,65536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31115</wp:posOffset>
                </wp:positionV>
                <wp:extent cx="5249545" cy="0"/>
                <wp:effectExtent l="0" t="0" r="0" b="0"/>
                <wp:wrapNone/>
                <wp:docPr id="8" name="直接连接符 8"/>
                <wp:cNvGraphicFramePr/>
                <a:graphic xmlns:a="http://schemas.openxmlformats.org/drawingml/2006/main">
                  <a:graphicData uri="http://schemas.microsoft.com/office/word/2010/wordprocessingShape">
                    <wps:wsp>
                      <wps:cNvCnPr/>
                      <wps:spPr>
                        <a:xfrm>
                          <a:off x="1256030" y="8256270"/>
                          <a:ext cx="52495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pt;margin-top:2.45pt;height:0pt;width:413.35pt;z-index:251661312;mso-width-relative:page;mso-height-relative:page;" filled="f" stroked="t" coordsize="21600,21600" o:gfxdata="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EZovNUAAAAGAQAA&#10;DwAAAAAAAAABACAAAAAiAAAAZHJzL2Rvd25yZXYueG1sUEsBAhQAFAAAAAgAh07iQM4VH2vjAQAA&#10;pgMAAA4AAAAAAAAAAQAgAAAAJAEAAGRycy9lMm9Eb2MueG1sUEsFBgAAAAAGAAYAWQEAAHkFAAAA&#10;AA==&#10;">
                <v:fill on="f" focussize="0,0"/>
                <v:stroke color="#000000 [3213]" joinstyle="round"/>
                <v:imagedata o:title=""/>
                <o:lock v:ext="edit" aspectratio="f"/>
              </v:line>
            </w:pict>
          </mc:Fallback>
        </mc:AlternateContent>
      </w:r>
      <w:r>
        <w:rPr>
          <w:rFonts w:hint="eastAsia" w:ascii="仿宋_GB2312" w:hAnsi="仿宋_GB2312" w:eastAsia="仿宋_GB2312" w:cs="仿宋_GB2312"/>
          <w:w w:val="95"/>
          <w:sz w:val="32"/>
          <w:szCs w:val="32"/>
        </w:rPr>
        <w:t>日照</w:t>
      </w:r>
      <w:r>
        <w:rPr>
          <w:rFonts w:hint="eastAsia" w:ascii="仿宋_GB2312" w:hAnsi="仿宋_GB2312" w:eastAsia="仿宋_GB2312" w:cs="仿宋_GB2312"/>
          <w:w w:val="95"/>
          <w:sz w:val="32"/>
          <w:szCs w:val="32"/>
          <w:lang w:val="en-US" w:eastAsia="zh-CN"/>
        </w:rPr>
        <w:t>人才发展</w:t>
      </w:r>
      <w:r>
        <w:rPr>
          <w:rFonts w:hint="eastAsia" w:ascii="仿宋_GB2312" w:hAnsi="仿宋_GB2312" w:eastAsia="仿宋_GB2312" w:cs="仿宋_GB2312"/>
          <w:w w:val="95"/>
          <w:sz w:val="32"/>
          <w:szCs w:val="32"/>
        </w:rPr>
        <w:t>集团有限公司办公室 20</w:t>
      </w:r>
      <w:r>
        <w:rPr>
          <w:rFonts w:hint="eastAsia" w:ascii="仿宋_GB2312" w:hAnsi="仿宋_GB2312" w:eastAsia="仿宋_GB2312" w:cs="仿宋_GB2312"/>
          <w:w w:val="95"/>
          <w:sz w:val="32"/>
          <w:szCs w:val="32"/>
          <w:lang w:val="en-US" w:eastAsia="zh-CN"/>
        </w:rPr>
        <w:t>21</w:t>
      </w:r>
      <w:r>
        <w:rPr>
          <w:rFonts w:hint="eastAsia" w:ascii="仿宋_GB2312" w:hAnsi="仿宋_GB2312" w:eastAsia="仿宋_GB2312" w:cs="仿宋_GB2312"/>
          <w:w w:val="95"/>
          <w:sz w:val="32"/>
          <w:szCs w:val="32"/>
        </w:rPr>
        <w:t xml:space="preserve"> 年 </w:t>
      </w:r>
      <w:r>
        <w:rPr>
          <w:rFonts w:hint="eastAsia" w:ascii="仿宋_GB2312" w:hAnsi="仿宋_GB2312" w:eastAsia="仿宋_GB2312" w:cs="仿宋_GB2312"/>
          <w:w w:val="95"/>
          <w:sz w:val="32"/>
          <w:szCs w:val="32"/>
          <w:lang w:val="en-US" w:eastAsia="zh-CN"/>
        </w:rPr>
        <w:t>6</w:t>
      </w:r>
      <w:r>
        <w:rPr>
          <w:rFonts w:hint="eastAsia" w:ascii="仿宋_GB2312" w:hAnsi="仿宋_GB2312" w:eastAsia="仿宋_GB2312" w:cs="仿宋_GB2312"/>
          <w:w w:val="95"/>
          <w:sz w:val="32"/>
          <w:szCs w:val="32"/>
        </w:rPr>
        <w:t xml:space="preserve"> 月 2</w:t>
      </w:r>
      <w:r>
        <w:rPr>
          <w:rFonts w:hint="eastAsia" w:ascii="仿宋_GB2312" w:hAnsi="仿宋_GB2312" w:eastAsia="仿宋_GB2312" w:cs="仿宋_GB2312"/>
          <w:w w:val="95"/>
          <w:sz w:val="32"/>
          <w:szCs w:val="32"/>
          <w:lang w:val="en-US" w:eastAsia="zh-CN"/>
        </w:rPr>
        <w:t>5</w:t>
      </w:r>
      <w:r>
        <w:rPr>
          <w:rFonts w:hint="eastAsia" w:ascii="仿宋_GB2312" w:hAnsi="仿宋_GB2312" w:eastAsia="仿宋_GB2312" w:cs="仿宋_GB2312"/>
          <w:w w:val="95"/>
          <w:sz w:val="32"/>
          <w:szCs w:val="32"/>
        </w:rPr>
        <w:t xml:space="preserve"> 日印发</w:t>
      </w:r>
    </w:p>
    <w:sectPr>
      <w:footerReference r:id="rId3" w:type="default"/>
      <w:pgSz w:w="11906" w:h="16838"/>
      <w:pgMar w:top="1984"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both"/>
                          </w:pPr>
                          <w:r>
                            <w:rPr>
                              <w:rStyle w:val="7"/>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Style w:val="7"/>
                              <w:sz w:val="28"/>
                              <w:szCs w:val="28"/>
                            </w:rPr>
                            <w:t>—</w:t>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jc w:val="both"/>
                    </w:pPr>
                    <w:r>
                      <w:rPr>
                        <w:rStyle w:val="7"/>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Style w:val="7"/>
                        <w:sz w:val="28"/>
                        <w:szCs w:val="28"/>
                      </w:rPr>
                      <w:t>—</w:t>
                    </w:r>
                  </w:p>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515"/>
    <w:rsid w:val="00002515"/>
    <w:rsid w:val="00016B81"/>
    <w:rsid w:val="00034E7A"/>
    <w:rsid w:val="0006122A"/>
    <w:rsid w:val="0009167F"/>
    <w:rsid w:val="000F06DA"/>
    <w:rsid w:val="00101556"/>
    <w:rsid w:val="00124748"/>
    <w:rsid w:val="0014734E"/>
    <w:rsid w:val="00161A86"/>
    <w:rsid w:val="0018137D"/>
    <w:rsid w:val="00185C37"/>
    <w:rsid w:val="0019596C"/>
    <w:rsid w:val="001B5A73"/>
    <w:rsid w:val="001E31EF"/>
    <w:rsid w:val="001E3D11"/>
    <w:rsid w:val="00202B66"/>
    <w:rsid w:val="00210F00"/>
    <w:rsid w:val="00214247"/>
    <w:rsid w:val="00214C58"/>
    <w:rsid w:val="00236057"/>
    <w:rsid w:val="0023704F"/>
    <w:rsid w:val="00255D62"/>
    <w:rsid w:val="00293AD2"/>
    <w:rsid w:val="00295195"/>
    <w:rsid w:val="002A5D26"/>
    <w:rsid w:val="002E1375"/>
    <w:rsid w:val="002F7A6A"/>
    <w:rsid w:val="0031030A"/>
    <w:rsid w:val="00337413"/>
    <w:rsid w:val="0038526E"/>
    <w:rsid w:val="003944D2"/>
    <w:rsid w:val="003B5265"/>
    <w:rsid w:val="003E15C8"/>
    <w:rsid w:val="00496571"/>
    <w:rsid w:val="0050256F"/>
    <w:rsid w:val="0051465F"/>
    <w:rsid w:val="00552C39"/>
    <w:rsid w:val="0058189C"/>
    <w:rsid w:val="00625562"/>
    <w:rsid w:val="006303E9"/>
    <w:rsid w:val="00675428"/>
    <w:rsid w:val="006C0645"/>
    <w:rsid w:val="006E4A3E"/>
    <w:rsid w:val="00702D3A"/>
    <w:rsid w:val="007300F7"/>
    <w:rsid w:val="00741DF9"/>
    <w:rsid w:val="007D57F4"/>
    <w:rsid w:val="007E5090"/>
    <w:rsid w:val="007F7F95"/>
    <w:rsid w:val="008B6798"/>
    <w:rsid w:val="008C70B9"/>
    <w:rsid w:val="008F067E"/>
    <w:rsid w:val="008F69C3"/>
    <w:rsid w:val="009919EC"/>
    <w:rsid w:val="00994087"/>
    <w:rsid w:val="009A1598"/>
    <w:rsid w:val="00A36AA0"/>
    <w:rsid w:val="00A40AD8"/>
    <w:rsid w:val="00A568CB"/>
    <w:rsid w:val="00A60ED8"/>
    <w:rsid w:val="00A62891"/>
    <w:rsid w:val="00AA295D"/>
    <w:rsid w:val="00AD40E9"/>
    <w:rsid w:val="00AE2A0D"/>
    <w:rsid w:val="00B43794"/>
    <w:rsid w:val="00B87B18"/>
    <w:rsid w:val="00BA0149"/>
    <w:rsid w:val="00BA420B"/>
    <w:rsid w:val="00C523E8"/>
    <w:rsid w:val="00C560E5"/>
    <w:rsid w:val="00C75DA9"/>
    <w:rsid w:val="00C9668E"/>
    <w:rsid w:val="00CE7102"/>
    <w:rsid w:val="00CF2F76"/>
    <w:rsid w:val="00D074F0"/>
    <w:rsid w:val="00D172FD"/>
    <w:rsid w:val="00D4671B"/>
    <w:rsid w:val="00E2762B"/>
    <w:rsid w:val="00E612D6"/>
    <w:rsid w:val="00E63C30"/>
    <w:rsid w:val="00EB7692"/>
    <w:rsid w:val="00F04969"/>
    <w:rsid w:val="00F43F90"/>
    <w:rsid w:val="00F67A45"/>
    <w:rsid w:val="00FA02F5"/>
    <w:rsid w:val="08211E95"/>
    <w:rsid w:val="09F0063B"/>
    <w:rsid w:val="0B3F3650"/>
    <w:rsid w:val="13583D12"/>
    <w:rsid w:val="13694D30"/>
    <w:rsid w:val="18F43C9F"/>
    <w:rsid w:val="1FBC3D6C"/>
    <w:rsid w:val="206D4C18"/>
    <w:rsid w:val="21920567"/>
    <w:rsid w:val="245F0BB2"/>
    <w:rsid w:val="25156870"/>
    <w:rsid w:val="27520D3A"/>
    <w:rsid w:val="30FC4B78"/>
    <w:rsid w:val="33094E57"/>
    <w:rsid w:val="341D79CF"/>
    <w:rsid w:val="3E2B7EBE"/>
    <w:rsid w:val="3F07162D"/>
    <w:rsid w:val="441C43C2"/>
    <w:rsid w:val="453850E9"/>
    <w:rsid w:val="4A1616BF"/>
    <w:rsid w:val="4BE23E54"/>
    <w:rsid w:val="4FCA65FC"/>
    <w:rsid w:val="4FD5792A"/>
    <w:rsid w:val="53261844"/>
    <w:rsid w:val="58693B5F"/>
    <w:rsid w:val="5C0A37C0"/>
    <w:rsid w:val="5CA739A7"/>
    <w:rsid w:val="5F48203C"/>
    <w:rsid w:val="5FCE6ECF"/>
    <w:rsid w:val="638C58AE"/>
    <w:rsid w:val="640A1863"/>
    <w:rsid w:val="67FC6513"/>
    <w:rsid w:val="6CD5675C"/>
    <w:rsid w:val="6D826803"/>
    <w:rsid w:val="73B33452"/>
    <w:rsid w:val="73E66217"/>
    <w:rsid w:val="75E13644"/>
    <w:rsid w:val="761B127D"/>
    <w:rsid w:val="76CC55F2"/>
    <w:rsid w:val="7A447A69"/>
    <w:rsid w:val="7F051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方正小标宋简体" w:hAnsi="方正小标宋简体" w:eastAsia="方正小标宋简体" w:cs="Times New Roman"/>
      <w:color w:val="000000"/>
      <w:sz w:val="24"/>
      <w:szCs w:val="22"/>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cs="Times New Roman"/>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264</Words>
  <Characters>1508</Characters>
  <Lines>12</Lines>
  <Paragraphs>3</Paragraphs>
  <TotalTime>1</TotalTime>
  <ScaleCrop>false</ScaleCrop>
  <LinksUpToDate>false</LinksUpToDate>
  <CharactersWithSpaces>1769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2020-04-01T06:40:00Z</dcterms:created>
  <dc:creator>高华锋</dc:creator>
  <cp:lastModifiedBy>东夷小镇-杨锴</cp:lastModifiedBy>
  <cp:lastPrinted>2021-07-01T07:26:14Z</cp:lastPrinted>
  <dcterms:modified xsi:type="dcterms:W3CDTF">2021-07-01T07:26:55Z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E495015EE10D4282B72B9D67F492BC50</vt:lpwstr>
  </property>
</Properties>
</file>