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heme="majorEastAsia" w:hAnsiTheme="majorEastAsia" w:eastAsiaTheme="majorEastAsia" w:cstheme="majorEastAsia"/>
          <w:b/>
          <w:bCs/>
          <w:color w:val="C00000"/>
          <w:sz w:val="56"/>
          <w:szCs w:val="5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日人才字〔2021﹞13号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60288;mso-width-relative:page;mso-height-relative:page;" filled="f" stroked="t" coordsize="21600,21600" o:gfxdata="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gsKR9MAAAAHAQAA&#10;DwAAAAAAAAABACAAAAAiAAAAZHJzL2Rvd25yZXYueG1sUEsBAhQAFAAAAAgAh07iQCtYWZflAQAA&#10;pgMAAA4AAAAAAAAAAQAgAAAAIgEAAGRycy9lMm9Eb2MueG1sUEsFBgAAAAAGAAYAWQEAAHkFAAAA&#10;AA==&#10;">
                <v:fill on="f" focussize="0,0"/>
                <v:stroke weight="1.75pt" color="#C00000 [3205]"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w:t>
      </w:r>
      <w:r>
        <w:rPr>
          <w:rFonts w:hint="eastAsia" w:ascii="方正小标宋简体" w:hAnsi="方正小标宋简体" w:eastAsia="方正小标宋简体" w:cs="方正小标宋简体"/>
          <w:sz w:val="36"/>
          <w:szCs w:val="36"/>
          <w:lang w:val="en-US" w:eastAsia="zh-CN"/>
        </w:rPr>
        <w:t>日照人才发展</w:t>
      </w:r>
      <w:r>
        <w:rPr>
          <w:rFonts w:hint="eastAsia" w:ascii="方正小标宋简体" w:hAnsi="方正小标宋简体" w:eastAsia="方正小标宋简体" w:cs="方正小标宋简体"/>
          <w:sz w:val="36"/>
          <w:szCs w:val="36"/>
        </w:rPr>
        <w:t>集团经理层向董事会汇报制度（试行）》的通知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日照人才发展</w:t>
      </w:r>
      <w:r>
        <w:rPr>
          <w:rFonts w:hint="eastAsia" w:ascii="仿宋_GB2312" w:hAnsi="仿宋_GB2312" w:eastAsia="仿宋_GB2312" w:cs="仿宋_GB2312"/>
          <w:sz w:val="32"/>
          <w:szCs w:val="32"/>
        </w:rPr>
        <w:t>集团经理层向董事会汇报制度（试行）》印发给你们，请结合工作实际，认真抓好贯彻落实。</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2021年6月25日   </w:t>
      </w:r>
    </w:p>
    <w:p>
      <w:pPr>
        <w:spacing w:line="600" w:lineRule="exact"/>
        <w:jc w:val="center"/>
        <w:rPr>
          <w:rFonts w:hint="eastAsia" w:ascii="方正小标宋简体" w:eastAsia="方正小标宋简体"/>
          <w:color w:val="000000" w:themeColor="text1"/>
          <w:sz w:val="44"/>
          <w:szCs w:val="44"/>
          <w14:textFill>
            <w14:solidFill>
              <w14:schemeClr w14:val="tx1"/>
            </w14:solidFill>
          </w14:textFill>
        </w:rPr>
      </w:pPr>
    </w:p>
    <w:p>
      <w:pPr>
        <w:pStyle w:val="2"/>
        <w:rPr>
          <w:rFonts w:hint="eastAsia"/>
        </w:rPr>
      </w:pPr>
    </w:p>
    <w:p>
      <w:pPr>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日照人才发展集团有限公司</w:t>
      </w:r>
    </w:p>
    <w:p>
      <w:pPr>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经理层向董事会汇报制度（</w:t>
      </w:r>
      <w:r>
        <w:rPr>
          <w:rFonts w:hint="eastAsia" w:ascii="方正小标宋简体" w:eastAsia="方正小标宋简体"/>
          <w:color w:val="000000" w:themeColor="text1"/>
          <w:sz w:val="44"/>
          <w:szCs w:val="44"/>
          <w:lang w:val="en-US" w:eastAsia="zh-CN"/>
          <w14:textFill>
            <w14:solidFill>
              <w14:schemeClr w14:val="tx1"/>
            </w14:solidFill>
          </w14:textFill>
        </w:rPr>
        <w:t>试行</w:t>
      </w:r>
      <w:r>
        <w:rPr>
          <w:rFonts w:hint="eastAsia" w:ascii="方正小标宋简体" w:eastAsia="方正小标宋简体"/>
          <w:color w:val="000000" w:themeColor="text1"/>
          <w:sz w:val="44"/>
          <w:szCs w:val="44"/>
          <w14:textFill>
            <w14:solidFill>
              <w14:schemeClr w14:val="tx1"/>
            </w14:solidFill>
          </w14:textFill>
        </w:rPr>
        <w:t>）</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720"/>
        <w:rPr>
          <w:rFonts w:ascii="仿宋_GB2312" w:hAnsi="宋体" w:eastAsia="仿宋_GB2312" w:cs="Courier New"/>
          <w:bCs/>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为进一步</w:t>
      </w:r>
      <w:r>
        <w:rPr>
          <w:rFonts w:hint="eastAsia" w:ascii="Times New Roman" w:hAnsi="Times New Roman" w:eastAsia="仿宋_GB2312" w:cs="Times New Roman"/>
          <w:sz w:val="32"/>
          <w:szCs w:val="32"/>
        </w:rPr>
        <w:t>完善公司法人治理结构，</w:t>
      </w:r>
      <w:r>
        <w:rPr>
          <w:rFonts w:ascii="Times New Roman" w:hAnsi="Times New Roman" w:eastAsia="仿宋_GB2312" w:cs="Times New Roman"/>
          <w:sz w:val="32"/>
          <w:szCs w:val="32"/>
        </w:rPr>
        <w:t>规范工作程序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w:t>
      </w:r>
      <w:r>
        <w:rPr>
          <w:rFonts w:hint="eastAsia" w:ascii="Times New Roman" w:hAnsi="Times New Roman" w:eastAsia="仿宋_GB2312" w:cs="Times New Roman"/>
          <w:sz w:val="32"/>
          <w:szCs w:val="32"/>
        </w:rPr>
        <w:t>董事会决策的贯彻落实</w:t>
      </w:r>
      <w:r>
        <w:rPr>
          <w:rFonts w:hint="eastAsia" w:ascii="仿宋_GB2312" w:hAnsi="宋体" w:eastAsia="仿宋_GB2312" w:cs="Courier New"/>
          <w:bCs/>
          <w:sz w:val="32"/>
          <w:szCs w:val="32"/>
        </w:rPr>
        <w:t>，</w:t>
      </w:r>
      <w:r>
        <w:rPr>
          <w:rFonts w:ascii="Times New Roman" w:hAnsi="Times New Roman" w:eastAsia="仿宋_GB2312" w:cs="Times New Roman"/>
          <w:sz w:val="32"/>
          <w:szCs w:val="32"/>
        </w:rPr>
        <w:t>明确</w:t>
      </w:r>
      <w:r>
        <w:rPr>
          <w:rFonts w:hint="eastAsia" w:ascii="Times New Roman" w:hAnsi="Times New Roman" w:eastAsia="仿宋_GB2312" w:cs="Times New Roman"/>
          <w:sz w:val="32"/>
          <w:szCs w:val="32"/>
        </w:rPr>
        <w:t>经理层</w:t>
      </w:r>
      <w:r>
        <w:rPr>
          <w:rFonts w:ascii="Times New Roman" w:hAnsi="Times New Roman" w:eastAsia="仿宋_GB2312" w:cs="Times New Roman"/>
          <w:sz w:val="32"/>
          <w:szCs w:val="32"/>
        </w:rPr>
        <w:t>报告工作</w:t>
      </w:r>
      <w:r>
        <w:rPr>
          <w:rFonts w:hint="eastAsia" w:ascii="Times New Roman" w:hAnsi="Times New Roman" w:eastAsia="仿宋_GB2312" w:cs="Times New Roman"/>
          <w:sz w:val="32"/>
          <w:szCs w:val="32"/>
        </w:rPr>
        <w:t>的规范性</w:t>
      </w:r>
      <w:r>
        <w:rPr>
          <w:rFonts w:ascii="Times New Roman" w:hAnsi="Times New Roman" w:eastAsia="仿宋_GB2312" w:cs="Times New Roman"/>
          <w:sz w:val="32"/>
          <w:szCs w:val="32"/>
        </w:rPr>
        <w:t>，</w:t>
      </w:r>
      <w:r>
        <w:rPr>
          <w:rFonts w:hint="eastAsia" w:ascii="仿宋_GB2312" w:hAnsi="宋体" w:eastAsia="仿宋_GB2312" w:cs="Courier New"/>
          <w:bCs/>
          <w:sz w:val="32"/>
          <w:szCs w:val="32"/>
        </w:rPr>
        <w:t>依据</w:t>
      </w:r>
      <w:r>
        <w:rPr>
          <w:rFonts w:hint="eastAsia" w:ascii="Times New Roman" w:hAnsi="Times New Roman" w:eastAsia="仿宋_GB2312" w:cs="仿宋_GB2312"/>
          <w:sz w:val="32"/>
          <w:szCs w:val="32"/>
        </w:rPr>
        <w:t>根据《中华人民共和国公司法》等法律法规、</w:t>
      </w:r>
      <w:r>
        <w:rPr>
          <w:rFonts w:hint="eastAsia" w:ascii="仿宋_GB2312" w:hAnsi="宋体" w:eastAsia="仿宋_GB2312" w:cs="Courier New"/>
          <w:bCs/>
          <w:sz w:val="32"/>
          <w:szCs w:val="32"/>
        </w:rPr>
        <w:t>市国资委</w:t>
      </w:r>
      <w:r>
        <w:rPr>
          <w:rFonts w:hint="eastAsia" w:ascii="Times New Roman" w:hAnsi="Times New Roman" w:eastAsia="仿宋_GB2312" w:cs="仿宋_GB2312"/>
          <w:sz w:val="32"/>
          <w:szCs w:val="32"/>
        </w:rPr>
        <w:t>和《日照人才发展集团有限公司章程》</w:t>
      </w:r>
      <w:r>
        <w:rPr>
          <w:rFonts w:hint="eastAsia" w:eastAsia="仿宋_GB2312"/>
          <w:snapToGrid w:val="0"/>
          <w:kern w:val="0"/>
          <w:sz w:val="32"/>
          <w:szCs w:val="32"/>
        </w:rPr>
        <w:t>等</w:t>
      </w:r>
      <w:r>
        <w:rPr>
          <w:rFonts w:hint="eastAsia" w:ascii="仿宋_GB2312" w:hAnsi="宋体" w:eastAsia="仿宋_GB2312" w:cs="Courier New"/>
          <w:bCs/>
          <w:sz w:val="32"/>
          <w:szCs w:val="32"/>
        </w:rPr>
        <w:t>有关规定，制定本制度。</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第二条</w:t>
      </w:r>
      <w:r>
        <w:rPr>
          <w:rFonts w:hint="eastAsia" w:ascii="Times New Roman" w:hAnsi="Times New Roman" w:eastAsia="仿宋_GB2312" w:cs="Times New Roman"/>
          <w:sz w:val="32"/>
          <w:szCs w:val="32"/>
        </w:rPr>
        <w:t xml:space="preserve">  本制度所称经理层是指董事会聘任的总经理、副总经理及董事会认定的其他高级管理人员。</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集团</w:t>
      </w:r>
      <w:r>
        <w:rPr>
          <w:rFonts w:hint="eastAsia" w:ascii="Times New Roman" w:hAnsi="Times New Roman" w:eastAsia="仿宋_GB2312" w:cs="Times New Roman"/>
          <w:sz w:val="32"/>
          <w:szCs w:val="32"/>
        </w:rPr>
        <w:t>经理层</w:t>
      </w:r>
      <w:r>
        <w:rPr>
          <w:rFonts w:ascii="Times New Roman" w:hAnsi="Times New Roman" w:eastAsia="仿宋_GB2312" w:cs="Times New Roman"/>
          <w:sz w:val="32"/>
          <w:szCs w:val="32"/>
        </w:rPr>
        <w:t>向董事会/董事长负责汇报工作，生产、经营活动中的重要事项（包括以集团名义公务活动）或责权范围内不能解决的事项，</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及时请示报告。</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集团</w:t>
      </w:r>
      <w:r>
        <w:rPr>
          <w:rFonts w:hint="eastAsia" w:ascii="Times New Roman" w:hAnsi="Times New Roman" w:eastAsia="仿宋_GB2312" w:cs="Times New Roman"/>
          <w:sz w:val="32"/>
          <w:szCs w:val="32"/>
        </w:rPr>
        <w:t>经理层</w:t>
      </w:r>
      <w:r>
        <w:rPr>
          <w:rFonts w:ascii="Times New Roman" w:hAnsi="Times New Roman" w:eastAsia="仿宋_GB2312" w:cs="Times New Roman"/>
          <w:sz w:val="32"/>
          <w:szCs w:val="32"/>
        </w:rPr>
        <w:t>实行总经理办公会制度。</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总经理根据董事会要求，向董事会报告工作，报告内容为：总经理办公会工作纪要、集团年度计划实施情况、集团重大合同的签订和执行情况、资金运用和盈亏情况、重大投资项目的进展情况等方面，并保证报告的真实性、完整性。</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定期工作报告制度：</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董事会的召开，经理层</w:t>
      </w:r>
      <w:r>
        <w:rPr>
          <w:rFonts w:hint="eastAsia" w:ascii="Times New Roman" w:hAnsi="Times New Roman" w:eastAsia="仿宋_GB2312" w:cs="Times New Roman"/>
          <w:sz w:val="32"/>
          <w:szCs w:val="32"/>
        </w:rPr>
        <w:t>定期向董事会做</w:t>
      </w:r>
      <w:r>
        <w:rPr>
          <w:rFonts w:ascii="Times New Roman" w:hAnsi="Times New Roman" w:eastAsia="仿宋_GB2312" w:cs="Times New Roman"/>
          <w:sz w:val="32"/>
          <w:szCs w:val="32"/>
        </w:rPr>
        <w:t>工作报告，汇报报告期内工作开展情况、预算执行情况以及经营中存在的主要问题和建议</w:t>
      </w:r>
      <w:r>
        <w:rPr>
          <w:rFonts w:hint="eastAsia" w:ascii="Times New Roman" w:hAnsi="Times New Roman" w:eastAsia="仿宋_GB2312" w:cs="Times New Roman"/>
          <w:sz w:val="32"/>
          <w:szCs w:val="32"/>
        </w:rPr>
        <w:t>等事项</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财务报告制度：由财务总监每月定期向董事会/董事长报送资产负债表、利润表和现金流量表；每季度向董事会/董事长、监事会报送财务分析报告。</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日常报告制度：在董事会闭会期间，经理层适时就集团生产经营和资产运作等日常工作向董事长进行非正式</w:t>
      </w:r>
      <w:r>
        <w:rPr>
          <w:rFonts w:hint="eastAsia" w:ascii="Times New Roman" w:hAnsi="Times New Roman" w:eastAsia="仿宋_GB2312" w:cs="Times New Roman"/>
          <w:sz w:val="32"/>
          <w:szCs w:val="32"/>
        </w:rPr>
        <w:t>汇报</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rPr>
        <w:t>第九条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突发（重大）报告制度：对于集团经营中发生的突发性事件或者重大事件，经理层</w:t>
      </w:r>
      <w:r>
        <w:rPr>
          <w:rFonts w:hint="eastAsia" w:ascii="Times New Roman" w:hAnsi="Times New Roman" w:eastAsia="仿宋_GB2312" w:cs="Times New Roman"/>
          <w:sz w:val="32"/>
          <w:szCs w:val="32"/>
        </w:rPr>
        <w:t>要</w:t>
      </w:r>
      <w:r>
        <w:rPr>
          <w:rFonts w:ascii="Times New Roman" w:hAnsi="Times New Roman" w:eastAsia="仿宋_GB2312" w:cs="Times New Roman"/>
          <w:sz w:val="32"/>
          <w:szCs w:val="32"/>
        </w:rPr>
        <w:t>在事件发生后立即向董事长报告，并在3个工作日内向董事会提交书面报告，通报处理情况。应报告的突发事件或重大事件包括：</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重大合同的订立、变更和终止；</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大额银行</w:t>
      </w:r>
      <w:r>
        <w:rPr>
          <w:rFonts w:hint="eastAsia" w:ascii="Times New Roman" w:hAnsi="Times New Roman" w:eastAsia="仿宋_GB2312" w:cs="Times New Roman"/>
          <w:sz w:val="32"/>
          <w:szCs w:val="32"/>
        </w:rPr>
        <w:t>交易</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重大经营性或非经营性</w:t>
      </w:r>
      <w:r>
        <w:rPr>
          <w:rFonts w:hint="eastAsia" w:ascii="Times New Roman" w:hAnsi="Times New Roman" w:eastAsia="仿宋_GB2312" w:cs="Times New Roman"/>
          <w:sz w:val="32"/>
          <w:szCs w:val="32"/>
        </w:rPr>
        <w:t>事项</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可能依法负有的赔偿责任；</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重大诉讼、仲裁</w:t>
      </w:r>
      <w:r>
        <w:rPr>
          <w:rFonts w:hint="eastAsia" w:ascii="Times New Roman" w:hAnsi="Times New Roman" w:eastAsia="仿宋_GB2312" w:cs="Times New Roman"/>
          <w:sz w:val="32"/>
          <w:szCs w:val="32"/>
        </w:rPr>
        <w:t>、信访等</w:t>
      </w:r>
      <w:r>
        <w:rPr>
          <w:rFonts w:ascii="Times New Roman" w:hAnsi="Times New Roman" w:eastAsia="仿宋_GB2312" w:cs="Times New Roman"/>
          <w:sz w:val="32"/>
          <w:szCs w:val="32"/>
        </w:rPr>
        <w:t>事项；</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集团发生重大人事安全事故、设备事故、质量事故及其他对集团经营、发展产生重大影响的事件；</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集团章程、董事会议事规则规定的或者经理层认为必要的其他报告事项。</w:t>
      </w:r>
    </w:p>
    <w:p>
      <w:pPr>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rPr>
          <w:rFonts w:hint="eastAsia" w:ascii="仿宋_GB2312" w:hAnsi="仿宋_GB2312" w:eastAsia="仿宋_GB2312" w:cs="仿宋_GB2312"/>
          <w:w w:val="95"/>
          <w:sz w:val="32"/>
          <w:szCs w:val="32"/>
        </w:rPr>
      </w:pPr>
      <w:bookmarkStart w:id="0" w:name="_GoBack"/>
      <w:bookmarkEnd w:id="0"/>
    </w:p>
    <w:p>
      <w:pPr>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356235</wp:posOffset>
                </wp:positionV>
                <wp:extent cx="5249545" cy="0"/>
                <wp:effectExtent l="33655" t="29845" r="50800" b="8445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8.05pt;height:0pt;width:413.35pt;z-index:251662336;mso-width-relative:page;mso-height-relative:page;" filled="f" stroked="t" coordsize="21600,21600" o:gfxdata="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3zl1QAA&#10;AAgBAAAPAAAAAAAAAAEAIAAAACIAAABkcnMvZG93bnJldi54bWxQSwECFAAUAAAACACHTuJA3KOu&#10;fyECAABJBAAADgAAAAAAAAABACAAAAAkAQAAZHJzL2Uyb0RvYy54bWxQSwUGAAAAAAYABgBZAQAA&#10;twUAAAAA&#10;">
                <v:fill on="f" focussize="0,0"/>
                <v:stroke weight="3pt" color="#000000 [3213]" joinstyle="round"/>
                <v:imagedata o:title=""/>
                <o:lock v:ext="edit" aspectratio="f"/>
                <v:shadow on="t" color="#000000" opacity="22937f" offset="0pt,1.81102362204724pt" origin="0f,32768f" matrix="65536f,0f,0f,65536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31115</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2.45pt;height:0pt;width:413.35pt;z-index:251661312;mso-width-relative:page;mso-height-relative:page;" filled="f" stroked="t" coordsize="21600,21600" o:gfxdata="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EZovNUAAAAGAQAA&#10;DwAAAAAAAAABACAAAAAiAAAAZHJzL2Rvd25yZXYueG1sUEsBAhQAFAAAAAgAh07iQM4VH2vjAQAA&#10;pgMAAA4AAAAAAAAAAQAgAAAAJAEAAGRycy9lMm9Eb2MueG1sUEsFBgAAAAAGAAYAWQEAAHkFAAAA&#10;AA==&#10;">
                <v:fill on="f" focussize="0,0"/>
                <v:stroke color="#000000 [3213]" joinstyle="round"/>
                <v:imagedata o:title=""/>
                <o:lock v:ext="edit" aspectratio="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21</w:t>
      </w:r>
      <w:r>
        <w:rPr>
          <w:rFonts w:hint="eastAsia" w:ascii="仿宋_GB2312" w:hAnsi="仿宋_GB2312" w:eastAsia="仿宋_GB2312" w:cs="仿宋_GB2312"/>
          <w:w w:val="95"/>
          <w:sz w:val="32"/>
          <w:szCs w:val="32"/>
        </w:rPr>
        <w:t xml:space="preserve"> 年 </w:t>
      </w:r>
      <w:r>
        <w:rPr>
          <w:rFonts w:hint="eastAsia" w:ascii="仿宋_GB2312" w:hAnsi="仿宋_GB2312" w:eastAsia="仿宋_GB2312" w:cs="仿宋_GB2312"/>
          <w:w w:val="95"/>
          <w:sz w:val="32"/>
          <w:szCs w:val="32"/>
          <w:lang w:val="en-US" w:eastAsia="zh-CN"/>
        </w:rPr>
        <w:t>6</w:t>
      </w:r>
      <w:r>
        <w:rPr>
          <w:rFonts w:hint="eastAsia" w:ascii="仿宋_GB2312" w:hAnsi="仿宋_GB2312" w:eastAsia="仿宋_GB2312" w:cs="仿宋_GB2312"/>
          <w:w w:val="95"/>
          <w:sz w:val="32"/>
          <w:szCs w:val="32"/>
        </w:rPr>
        <w:t xml:space="preserve"> 月 2</w:t>
      </w:r>
      <w:r>
        <w:rPr>
          <w:rFonts w:hint="eastAsia" w:ascii="仿宋_GB2312" w:hAnsi="仿宋_GB2312" w:eastAsia="仿宋_GB2312" w:cs="仿宋_GB2312"/>
          <w:w w:val="95"/>
          <w:sz w:val="32"/>
          <w:szCs w:val="32"/>
          <w:lang w:val="en-US" w:eastAsia="zh-CN"/>
        </w:rPr>
        <w:t>5</w:t>
      </w:r>
      <w:r>
        <w:rPr>
          <w:rFonts w:hint="eastAsia" w:ascii="仿宋_GB2312" w:hAnsi="仿宋_GB2312" w:eastAsia="仿宋_GB2312" w:cs="仿宋_GB2312"/>
          <w:w w:val="95"/>
          <w:sz w:val="32"/>
          <w:szCs w:val="32"/>
        </w:rPr>
        <w:t xml:space="preserve"> 日印发</w:t>
      </w:r>
    </w:p>
    <w:p>
      <w:pPr>
        <w:pStyle w:val="2"/>
      </w:pPr>
    </w:p>
    <w:sectPr>
      <w:footerReference r:id="rId3" w:type="default"/>
      <w:pgSz w:w="11906" w:h="16838"/>
      <w:pgMar w:top="209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both"/>
                          </w:pPr>
                          <w:r>
                            <w:rPr>
                              <w:rStyle w:val="8"/>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8"/>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jc w:val="both"/>
                    </w:pPr>
                    <w:r>
                      <w:rPr>
                        <w:rStyle w:val="8"/>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8"/>
                        <w:sz w:val="28"/>
                        <w:szCs w:val="28"/>
                      </w:rPr>
                      <w:t>—</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15"/>
    <w:rsid w:val="00002515"/>
    <w:rsid w:val="00016B81"/>
    <w:rsid w:val="00034E7A"/>
    <w:rsid w:val="0009167F"/>
    <w:rsid w:val="000F06DA"/>
    <w:rsid w:val="00101556"/>
    <w:rsid w:val="00124748"/>
    <w:rsid w:val="0014734E"/>
    <w:rsid w:val="00180ABE"/>
    <w:rsid w:val="0018137D"/>
    <w:rsid w:val="00185C37"/>
    <w:rsid w:val="0019596C"/>
    <w:rsid w:val="001B5A73"/>
    <w:rsid w:val="001E31EF"/>
    <w:rsid w:val="001E3D11"/>
    <w:rsid w:val="001E5294"/>
    <w:rsid w:val="00202B66"/>
    <w:rsid w:val="00210F00"/>
    <w:rsid w:val="00214247"/>
    <w:rsid w:val="00214C58"/>
    <w:rsid w:val="00236057"/>
    <w:rsid w:val="0023704F"/>
    <w:rsid w:val="00255D62"/>
    <w:rsid w:val="00295195"/>
    <w:rsid w:val="002A5D26"/>
    <w:rsid w:val="002A6054"/>
    <w:rsid w:val="002E1375"/>
    <w:rsid w:val="002F7A6A"/>
    <w:rsid w:val="0031030A"/>
    <w:rsid w:val="0038526E"/>
    <w:rsid w:val="003944D2"/>
    <w:rsid w:val="003B5265"/>
    <w:rsid w:val="003E15C8"/>
    <w:rsid w:val="00496571"/>
    <w:rsid w:val="0050256F"/>
    <w:rsid w:val="0051465F"/>
    <w:rsid w:val="00552C39"/>
    <w:rsid w:val="0058189C"/>
    <w:rsid w:val="00625562"/>
    <w:rsid w:val="006303E9"/>
    <w:rsid w:val="00631F26"/>
    <w:rsid w:val="00675428"/>
    <w:rsid w:val="00681FBB"/>
    <w:rsid w:val="006C0645"/>
    <w:rsid w:val="006E4A3E"/>
    <w:rsid w:val="00702D3A"/>
    <w:rsid w:val="007300F7"/>
    <w:rsid w:val="00741DF9"/>
    <w:rsid w:val="007D57F4"/>
    <w:rsid w:val="007E5090"/>
    <w:rsid w:val="007F7F95"/>
    <w:rsid w:val="008B6798"/>
    <w:rsid w:val="008C70B9"/>
    <w:rsid w:val="008F067E"/>
    <w:rsid w:val="009919EC"/>
    <w:rsid w:val="00994087"/>
    <w:rsid w:val="009A1598"/>
    <w:rsid w:val="00A01904"/>
    <w:rsid w:val="00A36AA0"/>
    <w:rsid w:val="00A40AD8"/>
    <w:rsid w:val="00A568CB"/>
    <w:rsid w:val="00A60ED8"/>
    <w:rsid w:val="00A62891"/>
    <w:rsid w:val="00AD40E9"/>
    <w:rsid w:val="00AE2A0D"/>
    <w:rsid w:val="00B43794"/>
    <w:rsid w:val="00B84821"/>
    <w:rsid w:val="00B87B18"/>
    <w:rsid w:val="00BA420B"/>
    <w:rsid w:val="00C523E8"/>
    <w:rsid w:val="00C560E5"/>
    <w:rsid w:val="00C75DA9"/>
    <w:rsid w:val="00C9668E"/>
    <w:rsid w:val="00CE7102"/>
    <w:rsid w:val="00CF2F76"/>
    <w:rsid w:val="00D074F0"/>
    <w:rsid w:val="00D172FD"/>
    <w:rsid w:val="00E2762B"/>
    <w:rsid w:val="00E612D6"/>
    <w:rsid w:val="00E63C30"/>
    <w:rsid w:val="00EB7692"/>
    <w:rsid w:val="00F04969"/>
    <w:rsid w:val="00F43F90"/>
    <w:rsid w:val="00F67A45"/>
    <w:rsid w:val="00FA02F5"/>
    <w:rsid w:val="0B827A69"/>
    <w:rsid w:val="33094E57"/>
    <w:rsid w:val="3C9B1EF7"/>
    <w:rsid w:val="3D103088"/>
    <w:rsid w:val="400F59A1"/>
    <w:rsid w:val="41450AAE"/>
    <w:rsid w:val="5F604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128</Words>
  <Characters>731</Characters>
  <Lines>6</Lines>
  <Paragraphs>1</Paragraphs>
  <TotalTime>0</TotalTime>
  <ScaleCrop>false</ScaleCrop>
  <LinksUpToDate>false</LinksUpToDate>
  <CharactersWithSpaces>858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2020-04-01T06:40:00Z</dcterms:created>
  <dc:creator>高华锋</dc:creator>
  <cp:lastModifiedBy>东夷小镇-杨锴</cp:lastModifiedBy>
  <cp:lastPrinted>2021-07-01T07:17:37Z</cp:lastPrinted>
  <dcterms:modified xsi:type="dcterms:W3CDTF">2021-07-01T07:17:47Z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17E562EFA9664641962FAFBF8064C4F1</vt:lpwstr>
  </property>
</Properties>
</file>